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both"/>
      </w:pPr>
      <w:r>
        <w:rPr>
          <w:b/>
          <w:bCs/>
          <w:lang w:val="pl-PL"/>
        </w:rPr>
        <w:t xml:space="preserve">PRAKTYKA W RAMACH SPECJALNOŚCI: </w:t>
      </w:r>
    </w:p>
    <w:p>
      <w:pPr>
        <w:pStyle w:val="style0"/>
        <w:spacing w:after="0" w:before="0" w:line="100" w:lineRule="atLeast"/>
        <w:jc w:val="both"/>
      </w:pPr>
      <w:r>
        <w:rPr>
          <w:b/>
          <w:bCs/>
          <w:lang w:val="pl-PL"/>
        </w:rPr>
        <w:t>EDUKACJA MEDIALNA I DZIENNIKARSKA</w:t>
      </w:r>
    </w:p>
    <w:p>
      <w:pPr>
        <w:pStyle w:val="style30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736"/>
        <w:gridCol w:w="3401"/>
        <w:gridCol w:w="5926"/>
      </w:tblGrid>
      <w:tr>
        <w:trPr>
          <w:trHeight w:hRule="atLeast" w:val="618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b/>
                <w:sz w:val="20"/>
                <w:szCs w:val="20"/>
                <w:lang w:bidi="hi-IN" w:eastAsia="hi-IN" w:val="pl-PL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b/>
                <w:sz w:val="20"/>
                <w:szCs w:val="20"/>
                <w:lang w:bidi="hi-IN" w:eastAsia="hi-IN" w:val="pl-PL"/>
              </w:rPr>
              <w:t>Nr pola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b/>
                <w:sz w:val="20"/>
                <w:szCs w:val="20"/>
                <w:lang w:bidi="hi-IN" w:eastAsia="hi-IN" w:val="pl-PL"/>
              </w:rPr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b/>
                <w:sz w:val="20"/>
                <w:szCs w:val="20"/>
                <w:lang w:bidi="hi-IN" w:eastAsia="hi-IN" w:val="pl-PL"/>
              </w:rPr>
              <w:t>Nazwa pola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b/>
                <w:sz w:val="20"/>
                <w:szCs w:val="20"/>
                <w:lang w:bidi="hi-IN" w:eastAsia="hi-IN" w:val="pl-PL"/>
              </w:rPr>
              <w:t>Opis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Jednostka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Instytut Humanistyczny – Zakład Filologii Polskiej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Kierunek studiów – profil 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filologia polska, studia II stopnia – profil praktyczny, studia stacjonarne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3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Nazwa modułu kształcenia/ przedmiotu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praktyka zawodowa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4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Kod modułu kształcenia/przedmiotu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5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Kod Erasmusa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15.1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6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Punkty ECTS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16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7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Rodzaj modułu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8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Rok studiów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II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9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Semestr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4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10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Typ zajęć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praktyka 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11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Liczba godzin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360 (w ciągu 12 tygodni / 3 miesięcy)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12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Koordynator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 w:eastAsia="Times New Roman"/>
                <w:sz w:val="20"/>
                <w:szCs w:val="20"/>
              </w:rPr>
              <w:t>ks. dr hab. Michał Drożdż, prof. PWSZ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13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Prowadzący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Opiekunowie praktyk w ZFP: dr Krystyna Choińska, doc. PWSZ; dr Małgorzata Pachowicz, doc. PWSZ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14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Język wykładowy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polski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15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Zakres nauk podstawowych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16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Zajęcia ogólnouczelniane/ na innym kierunku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17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Wymagania wstępne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brak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18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Efekty kształcenia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Student: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ma szczegółową wiedzę o celach, organizacji i funkcjonowaniu wybranych instytucji związanych z wybraną sferą działalności kulturalnej, edukacyjnej, medialnej;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ma pogłębioną wiedzę o metodyce wykonywania zadań, normach, procedurach i dobrych praktykach stosowanych w wybranej sferze działalności kulturalnej, edukacyjnej, medialnej, zorientowaną na nowatorskie rozwiązywanie złożonych problemów w nietypowych sytuacjach zawodowych;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ma pogłębioną wiedzę o uczestnikach działań kulturalnych,  edukacyjnych i medialnych oraz o metodach diagnozowania i ewaluacji ich potrzeb;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ma podstawową wiedzę o bezpieczeństwie i higienie pracy w instytucjach związanych z wybraną sferą działalności kulturalnej, edukacyjnej, medialnej;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ma umiejętności niezbędne do pracy  na stanowiskach wymagających współdziałania w zespole i wspólnego rozwiązywania problemów, jak i na stanowiskach wymagających samodzielności w podejmowaniu decyzji w instytucjach kultury i edukacji oraz mediach;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potrafi ocenić przydatność różnorodnych metod, procedur, dobrych praktyk do realizacji zadań i rozwiązywania problemów w wybranej dziedzinie kultury, działalności edukacyjnej i medialnej oraz wybrać i zastosować właściwy sposób postępowania;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potrafi wyszukiwać, analizować, oceniać, selekcjonować i użytkować informacje z wykorzystaniem różnych źródeł oraz formułować na tej podstawie krytyczne sądy;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- potrafi posługiwać się wybranymi programami komputerowymi i bazami danych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potrafi wykorzystać dostępne media do popularyzowania wiedzy o wytworach kultury i jej instytucjach;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przejawia zainteresowanie lokalnymi inicjatywami i zdarzeniami kulturalnymi, naukowymi i społecznymi, w miarę możliwości i kompetencji współtworzy je;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dostrzega etyczny wymiar swoich działań, w tym działań zawodowych, i poszukuje rozwiązań zgodnych z przepisami prawa oraz dobrymi praktykami stosowanymi w środowisku zawodowym i społecznym;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 jest gotowy do odpowiedzialnego, samodzielnego i aktywnego podejmowania zadań zawodowych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19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Stosowane metody dydaktyczne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128" w:val="left"/>
              </w:tabs>
              <w:suppressAutoHyphens w:val="true"/>
              <w:spacing w:after="0" w:before="0" w:line="100" w:lineRule="atLeast"/>
              <w:ind w:hanging="0" w:left="64" w:right="0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Indywidualne i zespołowe zadania praktyczne w instytucjach praktyk, instruktaż, objaśnienie, metoda przypadku, praca z tekstem, tworzenie dokumentów, konsultacje grupowe i indywidualne ukierunkowane na powtarzanie wiedzy w zakresie przydatnym do wykonania zadań powierzanych przez opiekuna praktyki.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20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Metody sprawdzania i kryteria oceny efektów kształcenia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tabs>
                <w:tab w:leader="none" w:pos="244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opinia opiekuna praktyk w instytucji praktyk zawodowych sformułowana na podstawie wypełnionego przez studenta dziennika praktyk, obserwacji studenta podczas realizacji programu praktyki;</w:t>
            </w:r>
          </w:p>
          <w:p>
            <w:pPr>
              <w:pStyle w:val="style0"/>
              <w:widowControl w:val="false"/>
              <w:numPr>
                <w:ilvl w:val="0"/>
                <w:numId w:val="2"/>
              </w:numPr>
              <w:tabs>
                <w:tab w:leader="none" w:pos="244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ocena działań studenta na podstawie samodzielnie wypełnionego dziennika praktyk opisującego podjęte działania zgodnie z programem praktyk, potwierdzonego przez opiekuna praktyk w instytucji praktyk.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855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21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Forma i warunki zaliczenia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Zaliczenie z oceną po semestrze 4. na podstawie dokumentacji praktyk zgodnej z programem praktyk.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22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Treści kształcenia (skrócony opis)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Celem praktyk zawodowych jest stworzenie studentom możliwości kontaktu zawodowego, a zatem zapoznania ich z podstawowymi aspektami pracy zawodowej w różnych instytucjach związanych z szeroko pojętą komunikacją społeczną i edukacją medialną. Student ma możność poznania funkcjonowania instytucji medialnych oraz ośrodków edukacji medialnej: ich celów, struktury, programów i zakresów działania, dostępności zawodowej itd. Student zdobywa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i utrwala praktyczne umiejętności w zakresie dziennikarstwa i komunikacji społecznej w zależności od specyfiki instytucji praktyk. Celem praktyk zawodowych jest również poszerzenie fachowej wiedzy dziennikarskiej w specjalistycznych placówkach medialno-dziennikarskich w różnych obszarach komunikacji społecznej z wykorzystaniem najnowszych technologii medialnych oraz zdobycie i utrwalenie praktycznych umiejętności pedagogicznych, metodycznych, wychowawczych w ośrodkach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 placówkach edukacyjnych, wychowawczych, kulturalnych, ewangelizacyjnych, potrzebnych w przygotowaniu pedagogicznym i edukacyjnym. Program praktyk służy weryfikacji zdobytych podczas studiów wiedzy i umiejętności z praktyką, a przede wszystkim wykorzystaniu ich w praktycznych działaniach, gdyż praktyka jest ściśle związana z programem studiów specjalnościowych.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Miejsce praktyk: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redakcje radia, telewizji, gazet i czasopism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redakcje portali i mediów internetowych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redakcje wydawnictw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- instytucje i agencje </w:t>
            </w:r>
            <w:r>
              <w:rPr>
                <w:rFonts w:cs="Times New Roman" w:eastAsia="SimSun"/>
                <w:i/>
                <w:sz w:val="20"/>
                <w:szCs w:val="20"/>
                <w:lang w:bidi="hi-IN" w:eastAsia="hi-IN" w:val="pl-PL"/>
              </w:rPr>
              <w:t>public relations</w:t>
            </w: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, domy medialne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redakcje mediów zakładowych: radiowęzły, biura informacji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agencje reklamowe i instytucje marketingu medialnego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- biura i działy promocji różnych instytucji 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 organizacji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agencje informacyjne i centra informacji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ośrodki edukacji medialnej w szkołach, ośrodkach wychowawczych, mediach, parafiach itp.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ośrodki animacji i promocji kultury, biura organizacji imprez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biura prasowe i biura rzeczników prasowych instytucji, organizacji i firm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ośrodki duszpasterstwa mediów i ewangelizacji przez media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udział w konferencjach naukowych z obszaru tematycznego kierunku studiów oraz specjalności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warsztaty dziennikarskie organizowane przez różne instytucje i organizacje</w:t>
            </w:r>
          </w:p>
          <w:p>
            <w:pPr>
              <w:pStyle w:val="style0"/>
              <w:widowControl w:val="false"/>
              <w:tabs>
                <w:tab w:leader="none" w:pos="0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praktyki edukacyjne w ośrodkach edukacyjnych (prelekcje, ćwiczenia, warsztaty)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- ośrodki przygotowania pedagogicznego.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sz w:val="20"/>
                <w:szCs w:val="20"/>
                <w:lang w:eastAsia="ar-SA" w:val="pl-PL"/>
              </w:rPr>
              <w:t>23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  <w:lang w:val="en-GB"/>
              </w:rPr>
              <w:t>Contents of the study programme (short version)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aim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creating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for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students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possibilities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contact,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thus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acquainting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with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basic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aspects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work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various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connected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to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widely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understood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social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communication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Student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has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opportunity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gaining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knowledge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about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functioning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centres: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their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goals,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structure,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programs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fields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activities,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accessibility,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etc.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Student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acquires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fixes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practical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field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journalism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social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communication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depending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specifics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aim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also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broadening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journalistic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knowledge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technical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medial-journalistic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various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areas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social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communication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with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using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newest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technologies,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acquiring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fixing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practical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educational,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methodical,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cultural,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evangelising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necessary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pedagogical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preparation.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Program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serves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to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verification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n-US"/>
              </w:rPr>
              <w:t>knowledge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acquired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during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studies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with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practice,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first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all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using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practical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activities,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because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closely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related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to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program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specialization.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Place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training: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-editorial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radio,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television,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newspapers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magazines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-editorial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portals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-editorial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printing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houses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-public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relations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agencies,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houses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-editorial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offices: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broadcasting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systems,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-advertising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agencies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marketing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-promotion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departments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various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organisations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-information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agencies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centres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information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-centres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schools,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educative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centres,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parishes,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etc.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-centres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culture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animation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promotion,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events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organisation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-centres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animation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spokesmen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offices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organisations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firms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-centres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ministry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evangelisation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through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media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-taking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part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science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conferences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thematic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field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studies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directions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specialisations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-journalistic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workshops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organized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by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various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institutions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and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organizations</w:t>
            </w:r>
          </w:p>
          <w:p>
            <w:pPr>
              <w:pStyle w:val="style31"/>
              <w:spacing w:line="100" w:lineRule="atLeast"/>
            </w:pPr>
            <w:r>
              <w:rPr>
                <w:rFonts w:cs="Times New Roman"/>
                <w:sz w:val="20"/>
                <w:szCs w:val="20"/>
                <w:lang w:val="en-US"/>
              </w:rPr>
              <w:t>-educational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in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educational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centres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(lectures,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exercises,</w:t>
            </w:r>
            <w:r>
              <w:rPr>
                <w:rFonts w:cs="Times New Roman"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workshops)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</w:rPr>
              <w:t>-centres</w:t>
            </w:r>
            <w:r>
              <w:rPr>
                <w:rFonts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of</w:t>
            </w:r>
            <w:r>
              <w:rPr>
                <w:rFonts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pedagogical</w:t>
            </w:r>
            <w:r>
              <w:rPr>
                <w:rFonts w:cs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preparation. </w:t>
            </w:r>
            <w:r>
              <w:rPr>
                <w:rFonts w:cs="Times New Roman"/>
                <w:sz w:val="20"/>
                <w:szCs w:val="20"/>
                <w:lang w:val="en-"/>
              </w:rPr>
              <w:t>(tłum. DWZZ)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24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Treści kształcenia (pełny opis)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Ogólne zapoznanie się z działalnością i specyfiką instytucji praktyk.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struktury, organizacji, celów i zasad działania instytucji praktyk.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Poznanie zasad komunikacji wewnętrznej 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 zewnętrznej.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zasad i uczenie się współpracy redakcyjnej i zespołowej.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Zapoznanie się ze sprzętem i narzędziami pracy dziennikarskiej.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różnych stanowisk i form zaangażowania zawodowego.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podstawowych sposobów pracy dziennikarskiej.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i ćwiczenie się w podstawowych formach dziennikarskich.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Samodzielna realizacja określonego zadania dziennikarskiego. 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Umiejętność krytycznej oceny własnej pracy przez siebie i innych.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Obserwacja organizacji i pracy instytucji: analiza zdobytej wiedzy. 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Wdrażanie się do aktywnego uczestnictwa w konkretnych, wyznaczonych działaniach instytucji, redakcji, biura.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organizacji pracy redakcji i udział w posiedzeniach kolegiów redakcyjnych.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sprzętu, programów i narzędzi pracy dziennikarskiej: ćwiczenie się w samodzielnej pracy przy pomocy tych narzędzi.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Realizacja wyznaczonych zadań redakcyjnych 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i organizacyjnych oraz własna inicjatywa 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i inwencja twórcza w poszukiwaniu tematów 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i form dziennikarskich. 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Udział w konferencjach prasowych oraz w wywiadach prowadzonych przez doświadczonych dziennikarzy.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Poznanie specyfiki dziennikarstwa prasowego, radiowego, telewizyjnego, internetowego w zależności od kategorii instytucji praktyk.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Przygotowywanie materiałów dziennikarskich w określonych formach i gatunkach dziennikarskich do wykorzystania przez instytucję praktyk.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Dziennikarstwo informacyjne i środowiskowe, pozyskiwanie i tworzenie materiałów dziennikarskich i ich redagowanie, prowadzenie wywiadu, dokumentacja materiałów.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Opracowywanie materiałów prasowych, radiowych, internetowych bądź telewizyjnych pod okiem doświadczonych dziennikarzy.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Przygotowanie reportażu prasowego, adiustacja tekstów.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Przygotowanie materiałów i scenariuszy reportażu radiowego i telewizyjnego.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Umiejętność autoprezentacji, stylizacje dziennikarskie, pozawerbalne środki przekazu.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Przygotowanie i redakcja materiałów internetowych: tworzenie stron, prowadzenie blogów itd. 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Kontakty zewnętrzne instytucji: dziennikarskie 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 promocyjne; poznanie i uczestnictwo w działaniach PR i marketingu medialnego.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  <w:lang w:bidi="hi-IN" w:eastAsia="hi-IN" w:val="pl-PL"/>
              </w:rPr>
              <w:t xml:space="preserve">Plany finansowe przedsięwzięć promocyjnych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0"/>
                <w:szCs w:val="20"/>
                <w:lang w:bidi="hi-IN" w:eastAsia="hi-IN" w:val="pl-PL"/>
              </w:rPr>
              <w:t>i ocena usług partnerów marketingowych.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Rzecznik prasowy: samodzielne przygotowanie form i scenariusza konferencji prasowej.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Pozyskiwanie źródeł informacji dziennikarskiej.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Umiejętność korzystania ze źródeł informacji dziennikarskiej.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Praktyczne zasady stosowania prawa autorskiego 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 prawa prasowego.</w:t>
            </w:r>
          </w:p>
          <w:p>
            <w:pPr>
              <w:pStyle w:val="style0"/>
              <w:widowControl w:val="false"/>
              <w:tabs>
                <w:tab w:leader="none" w:pos="0" w:val="left"/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Poznanie etosu i zasad etycznych pracy dziennikarskiej. 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Poznawanie, uczenie się i doskonalenie treści, form i metod kształcenia w zakresie edukacji medialnej i czytelniczej.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Zdobywanie praktycznych umiejętności metodycznych i dydaktycznych: przygotowanie konspektów zajęć dydaktycznych, hospitacje, uczestnictwo w działaniach edukacyjno-wychowawczych.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Prowadzenie zajęć szkolnych, edukacyjnych, prelekcji na tematy dziennikarstwa i mediów.</w:t>
            </w:r>
          </w:p>
          <w:p>
            <w:pPr>
              <w:pStyle w:val="style0"/>
              <w:widowControl w:val="false"/>
              <w:tabs>
                <w:tab w:leader="none" w:pos="433" w:val="left"/>
              </w:tabs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Warsztaty dziennikarskie z dziećmi i młodzieżą.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64" w:right="0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Organizacja imprez i spotkań kulturalnych, promocyjnych, ewangelizacyjnych, strategii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64" w:right="0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i programów edukacyjnych; animacja i promocja kultury medialnej, ewangelizacja i duszpasterstwo mediów. 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25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Literatura podstawowa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i uzupełniająca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99CC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64" w:right="0"/>
            </w:pPr>
            <w:r>
              <w:rPr>
                <w:rFonts w:cs="Times New Roman" w:eastAsia="Times New Roman"/>
                <w:sz w:val="20"/>
                <w:szCs w:val="20"/>
                <w:lang w:bidi="hi-IN" w:eastAsia="hi-IN" w:val="pl-PL"/>
              </w:rPr>
              <w:t>Zgodna z wykazem literatury podstawowej i uzupełniającej do przedmiotów z zakresu specjalności „edukacja medialna i dziennikarska”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26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Przyporządkowanie modułu kształcenia/ przedmiotu do obszaru/ obszarów kształcenia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ind w:hanging="0" w:left="64" w:right="0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27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Sposób określenia liczby punktów ECTS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28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 xml:space="preserve">Liczba punktów ECTS – zajęcia wymagające bezpośredniego </w:t>
            </w:r>
            <w:r>
              <w:rPr>
                <w:rFonts w:cs="Times New Roman" w:eastAsia="SimSun"/>
                <w:spacing w:val="-4"/>
                <w:sz w:val="20"/>
                <w:szCs w:val="20"/>
                <w:lang w:bidi="hi-IN" w:eastAsia="hi-IN" w:val="pl-PL"/>
              </w:rPr>
              <w:t>udziału nauczyciela akademickiego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7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29</w:t>
            </w:r>
          </w:p>
        </w:tc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  <w:t>Liczba punktów ECTS – zajęcia o charakterze praktycznym</w:t>
            </w:r>
          </w:p>
        </w:tc>
        <w:tc>
          <w:tcPr>
            <w:tcW w:type="dxa" w:w="59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cs="Times New Roman" w:eastAsia="SimSun"/>
                <w:sz w:val="20"/>
                <w:szCs w:val="20"/>
                <w:lang w:bidi="hi-IN" w:eastAsia="hi-IN" w:val="pl-PL"/>
              </w:rPr>
            </w:r>
          </w:p>
        </w:tc>
      </w:tr>
    </w:tbl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cs="Times New Roman" w:eastAsia="Times New Roman"/>
          <w:b/>
          <w:sz w:val="22"/>
          <w:lang w:eastAsia="ar-SA" w:val="pl-PL"/>
        </w:rPr>
      </w:r>
    </w:p>
    <w:p>
      <w:pPr>
        <w:pStyle w:val="style0"/>
        <w:widowControl/>
        <w:spacing w:after="200" w:before="0" w:line="276" w:lineRule="auto"/>
        <w:ind w:hanging="0" w:left="0" w:right="0"/>
        <w:jc w:val="lef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ind w:hanging="0" w:left="0" w:right="0"/>
      <w:jc w:val="left"/>
    </w:pPr>
    <w:rPr>
      <w:rFonts w:ascii="Times New Roman" w:cs="" w:eastAsia="SimSun" w:hAnsi="Times New Roman"/>
      <w:color w:val="auto"/>
      <w:sz w:val="24"/>
      <w:szCs w:val="22"/>
      <w:lang w:bidi="ar-SA" w:eastAsia="en-US" w:val="it-IT"/>
    </w:rPr>
  </w:style>
  <w:style w:styleId="style1" w:type="paragraph">
    <w:name w:val="Nagłówek 1"/>
    <w:basedOn w:val="style0"/>
    <w:next w:val="style24"/>
    <w:pPr>
      <w:keepNext/>
      <w:keepLines/>
      <w:spacing w:after="200" w:before="240"/>
      <w:ind w:hanging="0" w:left="0" w:right="0"/>
    </w:pPr>
    <w:rPr>
      <w:rFonts w:ascii="Calibri Light" w:cs="" w:hAnsi="Calibri Light"/>
      <w:color w:val="2E74B5"/>
      <w:sz w:val="32"/>
      <w:szCs w:val="32"/>
    </w:rPr>
  </w:style>
  <w:style w:styleId="style2" w:type="paragraph">
    <w:name w:val="Nagłówek 2"/>
    <w:basedOn w:val="style0"/>
    <w:next w:val="style24"/>
    <w:pPr>
      <w:keepNext/>
      <w:keepLines/>
      <w:numPr>
        <w:ilvl w:val="1"/>
        <w:numId w:val="1"/>
      </w:numPr>
      <w:spacing w:after="200" w:before="40"/>
      <w:outlineLvl w:val="1"/>
    </w:pPr>
    <w:rPr>
      <w:rFonts w:ascii="Calibri Light" w:cs="" w:hAnsi="Calibri Light"/>
      <w:color w:val="2E74B5"/>
      <w:sz w:val="26"/>
      <w:szCs w:val="26"/>
    </w:rPr>
  </w:style>
  <w:style w:styleId="style3" w:type="paragraph">
    <w:name w:val="Nagłówek 3"/>
    <w:basedOn w:val="style0"/>
    <w:next w:val="style24"/>
    <w:pPr>
      <w:keepNext/>
      <w:keepLines/>
      <w:numPr>
        <w:ilvl w:val="2"/>
        <w:numId w:val="1"/>
      </w:numPr>
      <w:spacing w:after="200" w:before="40"/>
      <w:outlineLvl w:val="2"/>
    </w:pPr>
    <w:rPr>
      <w:rFonts w:ascii="Calibri Light" w:cs="" w:hAnsi="Calibri Light"/>
      <w:color w:val="1F4D78"/>
      <w:szCs w:val="24"/>
    </w:rPr>
  </w:style>
  <w:style w:styleId="style4" w:type="paragraph">
    <w:name w:val="Nagłówek 4"/>
    <w:basedOn w:val="style0"/>
    <w:next w:val="style24"/>
    <w:pPr>
      <w:keepNext/>
      <w:keepLines/>
      <w:numPr>
        <w:ilvl w:val="3"/>
        <w:numId w:val="1"/>
      </w:numPr>
      <w:spacing w:after="200" w:before="200"/>
      <w:outlineLvl w:val="3"/>
    </w:pPr>
    <w:rPr>
      <w:rFonts w:ascii="Calibri Light" w:cs="" w:hAnsi="Calibri Light"/>
      <w:b/>
      <w:bCs/>
      <w:i/>
      <w:iCs/>
      <w:color w:val="5B9BD5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libri Light" w:cs="" w:hAnsi="Calibri Light"/>
      <w:color w:val="2E74B5"/>
      <w:sz w:val="32"/>
      <w:szCs w:val="32"/>
    </w:rPr>
  </w:style>
  <w:style w:styleId="style17" w:type="character">
    <w:name w:val="Nagłówek 2 Znak"/>
    <w:basedOn w:val="style15"/>
    <w:next w:val="style17"/>
    <w:rPr>
      <w:rFonts w:ascii="Calibri Light" w:cs="" w:hAnsi="Calibri Light"/>
      <w:color w:val="2E74B5"/>
      <w:sz w:val="26"/>
      <w:szCs w:val="26"/>
    </w:rPr>
  </w:style>
  <w:style w:styleId="style18" w:type="character">
    <w:name w:val="Nagłówek 3 Znak"/>
    <w:basedOn w:val="style15"/>
    <w:next w:val="style18"/>
    <w:rPr>
      <w:rFonts w:ascii="Calibri Light" w:cs="" w:hAnsi="Calibri Light"/>
      <w:color w:val="1F4D78"/>
      <w:sz w:val="24"/>
      <w:szCs w:val="24"/>
    </w:rPr>
  </w:style>
  <w:style w:styleId="style19" w:type="character">
    <w:name w:val="Nagłówek 4 Znak"/>
    <w:basedOn w:val="style15"/>
    <w:next w:val="style19"/>
    <w:rPr>
      <w:rFonts w:ascii="Calibri Light" w:cs="" w:hAnsi="Calibri Light"/>
      <w:b/>
      <w:bCs/>
      <w:i/>
      <w:iCs/>
      <w:color w:val="5B9BD5"/>
      <w:sz w:val="24"/>
    </w:rPr>
  </w:style>
  <w:style w:styleId="style20" w:type="character">
    <w:name w:val="Bez odstępów Znak"/>
    <w:basedOn w:val="style15"/>
    <w:next w:val="style20"/>
    <w:rPr>
      <w:rFonts w:ascii="Times New Roman" w:hAnsi="Times New Roman"/>
      <w:sz w:val="24"/>
    </w:rPr>
  </w:style>
  <w:style w:styleId="style21" w:type="character">
    <w:name w:val="ListLabel 1"/>
    <w:next w:val="style21"/>
    <w:rPr>
      <w:rFonts w:cs="Times New Roman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Nagłówek"/>
    <w:basedOn w:val="style0"/>
    <w:next w:val="style24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>
      <w:rFonts w:cs="Arial"/>
    </w:rPr>
  </w:style>
  <w:style w:styleId="style26" w:type="paragraph">
    <w:name w:val="Podpis"/>
    <w:basedOn w:val="style0"/>
    <w:next w:val="style26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Arial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Nagłówek spisu treści"/>
    <w:basedOn w:val="style1"/>
    <w:next w:val="style29"/>
    <w:pPr>
      <w:suppressLineNumbers/>
      <w:spacing w:after="200" w:before="480"/>
    </w:pPr>
    <w:rPr>
      <w:b/>
      <w:bCs/>
      <w:sz w:val="28"/>
      <w:szCs w:val="28"/>
      <w:lang w:eastAsia="pl-PL"/>
    </w:rPr>
  </w:style>
  <w:style w:styleId="style30" w:type="paragraph">
    <w:name w:val="No Spacing"/>
    <w:next w:val="style30"/>
    <w:pPr>
      <w:widowControl/>
      <w:tabs>
        <w:tab w:leader="none" w:pos="708" w:val="left"/>
      </w:tabs>
      <w:suppressAutoHyphens w:val="true"/>
      <w:spacing w:line="100" w:lineRule="atLeast"/>
      <w:ind w:hanging="0" w:left="0" w:right="0"/>
      <w:jc w:val="left"/>
    </w:pPr>
    <w:rPr>
      <w:rFonts w:ascii="Times New Roman" w:cs="" w:eastAsia="SimSun" w:hAnsi="Times New Roman"/>
      <w:color w:val="auto"/>
      <w:sz w:val="24"/>
      <w:szCs w:val="22"/>
      <w:lang w:bidi="ar-SA" w:eastAsia="en-US" w:val="pl-PL"/>
    </w:rPr>
  </w:style>
  <w:style w:styleId="style31" w:type="paragraph">
    <w:name w:val="Zawartość tabeli"/>
    <w:basedOn w:val="style0"/>
    <w:next w:val="style31"/>
    <w:pPr>
      <w:widowControl w:val="false"/>
      <w:suppressLineNumbers/>
      <w:suppressAutoHyphens w:val="true"/>
      <w:spacing w:after="0" w:before="0" w:line="100" w:lineRule="atLeast"/>
    </w:pPr>
    <w:rPr>
      <w:rFonts w:cs="Mangal" w:eastAsia="SimSun"/>
      <w:szCs w:val="24"/>
      <w:lang w:bidi="hi-IN" w:eastAsia="hi-I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2017-11-05T15:00:00.00Z</dcterms:created>
  <dc:creator>MP</dc:creator>
  <cp:lastModifiedBy>MP</cp:lastModifiedBy>
  <dcterms:modified xsi:type="dcterms:W3CDTF">2017-11-05T15:04:00.00Z</dcterms:modified>
  <cp:revision>1</cp:revision>
</cp:coreProperties>
</file>