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b/>
          <w:lang w:val="pl-PL"/>
        </w:rPr>
        <w:t>PRAKTYKI W RAMACH SPECJALNOŚCI NAUCZYCIELSKIEJ</w:t>
      </w:r>
    </w:p>
    <w:p>
      <w:pPr>
        <w:pStyle w:val="style0"/>
        <w:keepNext/>
        <w:keepLines/>
        <w:widowControl w:val="false"/>
        <w:suppressAutoHyphens w:val="true"/>
        <w:spacing w:after="0" w:before="0" w:line="100" w:lineRule="atLeast"/>
        <w:ind w:hanging="0" w:left="360" w:right="0"/>
      </w:pPr>
      <w:r>
        <w:rPr>
          <w:rFonts w:cs="Times New Roman" w:eastAsia="Calibri"/>
          <w:b/>
          <w:bCs/>
          <w:szCs w:val="24"/>
          <w:lang w:bidi="hi-IN" w:eastAsia="hi-IN" w:val="pl-PL"/>
        </w:rPr>
      </w:r>
    </w:p>
    <w:p>
      <w:pPr>
        <w:pStyle w:val="style0"/>
        <w:keepNext/>
        <w:keepLines/>
        <w:widowControl w:val="false"/>
        <w:suppressAutoHyphens w:val="true"/>
        <w:spacing w:after="0" w:before="0" w:line="100" w:lineRule="atLeast"/>
        <w:ind w:hanging="0" w:left="360" w:right="0"/>
      </w:pPr>
      <w:r>
        <w:rPr>
          <w:rFonts w:cs="Times New Roman" w:eastAsia="Calibri"/>
          <w:b/>
          <w:bCs/>
          <w:szCs w:val="24"/>
          <w:lang w:bidi="hi-IN" w:eastAsia="hi-IN" w:val="pl-PL"/>
        </w:rPr>
        <w:t xml:space="preserve">1. praktyka psychologiczno-pedagogiczna w szkołach realizujących III i IV etap edukacyjny 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cs="Times New Roman" w:eastAsia="Calibri"/>
          <w:szCs w:val="24"/>
          <w:lang w:bidi="hi-IN" w:eastAsia="hi-IN" w:val="pl-PL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624"/>
        <w:gridCol w:w="2929"/>
        <w:gridCol w:w="5735"/>
      </w:tblGrid>
      <w:tr>
        <w:trPr>
          <w:trHeight w:hRule="atLeast" w:val="618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  <w:t>Nr pola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  <w:t>Nazwa pola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  <w:t>Opis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Jednostka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Instytut Humanistyczny – Zakład Filologii Polskiej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Kierunek studiów – profil 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filologia polska, studia II stopnia – profil praktyczny, tryb stacjonarny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3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Nazwa modułu kształcenia/ przedmiotu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praktyka psychologiczno-pedagogiczna w szkołach realizujących III i IV etap edukacyjny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4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Kod modułu kształcenia/przedmiotu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5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Kod Erasmusa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05.1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6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Punkty ECTS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7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Rodzaj modułu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8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Rok studiów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II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9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Semestr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4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10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Typ zajęć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praktyka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11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Liczba godzin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30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12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Koordynator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dr Krystyna Choińska, dr Małgorzata Pachowicz 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13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Prowadzący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14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Język wykładowy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polski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15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Zakres nauk podstawowych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16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Zajęcia ogólnouczelniane/ na innym kierunku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17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Wymagania wstępne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wiedza z zakresu wstępnego kursu psychologii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i pedagogiki, uczestnictwo w zajęciach drugiego stopnia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18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Efekty kształcenia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  <w:t>WIEDZA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Student: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- ma pogłębioną wiedzę z zakresu metodyki prowadzenia zajęć lekcyjnych i pozalekcyjnych oraz zna zasady funkcjonowania nauczyciela w grupie uczniowskiej;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- zna cele, zasady i organizację pracy szkoły.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  <w:t>UMIEJĘTNOŚCI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Student: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  <w:t xml:space="preserve">- </w:t>
            </w: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samodzielnie przygotowuje konspekt i przeprowadza zajęcia o charakterze wychowawczym;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- skutecznie funkcjonuje w klasie szkolnej jako nauczyciel i wychowawca;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- potrafi samodzielnie przygotować dokumentację prowadzonych zajęć i uzasadnić ich formę umiejętnie dobranymi argumentami.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  <w:t>KOMPETENCJE SPOŁECZNE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Student: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  <w:t xml:space="preserve">- </w:t>
            </w: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potrafi określić pierwszo- i drugoplanowe cele w wykonywanych zadaniach;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- trafnie identyfikuje problemy występujące w sytuacjach szkolnych.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19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Stosowane metody dydaktyczne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0"/>
                <w:szCs w:val="20"/>
              </w:rPr>
              <w:t>- obserwacja zajęć,</w:t>
            </w:r>
          </w:p>
          <w:p>
            <w:pPr>
              <w:pStyle w:val="style0"/>
              <w:spacing w:after="200" w:before="0" w:line="100" w:lineRule="atLeast"/>
            </w:pPr>
            <w:r>
              <w:rPr>
                <w:sz w:val="20"/>
                <w:szCs w:val="20"/>
              </w:rPr>
              <w:t>- analiza i interpretacja zaobserwowanych albo doświadczonych zdarzeń i sytuacji pedagogicznych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20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Metody sprawdzania i kryteria oceny efektów kształcenia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0"/>
                <w:szCs w:val="20"/>
              </w:rPr>
              <w:t>- prowadzenie dziennika  praktyk,</w:t>
            </w:r>
          </w:p>
          <w:p>
            <w:pPr>
              <w:pStyle w:val="style0"/>
              <w:spacing w:line="100" w:lineRule="atLeast"/>
            </w:pPr>
            <w:r>
              <w:rPr>
                <w:sz w:val="20"/>
                <w:szCs w:val="20"/>
              </w:rPr>
              <w:t>- analiza działań nauczyciela-opiekuna praktyk w zakresie:</w:t>
            </w:r>
          </w:p>
          <w:p>
            <w:pPr>
              <w:pStyle w:val="style0"/>
              <w:spacing w:line="100" w:lineRule="atLeast"/>
            </w:pPr>
            <w:r>
              <w:rPr>
                <w:sz w:val="20"/>
                <w:szCs w:val="20"/>
              </w:rPr>
              <w:t>1)  rozpoznania formalnych i nieformalnych grup uczniowskich,</w:t>
            </w:r>
          </w:p>
          <w:p>
            <w:pPr>
              <w:pStyle w:val="style0"/>
              <w:spacing w:after="200" w:before="0" w:line="100" w:lineRule="atLeast"/>
            </w:pPr>
            <w:r>
              <w:rPr>
                <w:sz w:val="20"/>
                <w:szCs w:val="20"/>
              </w:rPr>
              <w:t>2)  podejmowanych działań na rzecz uczniów ze specjalnymi potrzebami edukacyjnymi.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855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21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Forma i warunki zaliczenia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b/>
                <w:sz w:val="20"/>
                <w:szCs w:val="20"/>
              </w:rPr>
              <w:t>Forma zaliczenia: zaliczenie z oceną po semestrze 6.</w:t>
            </w:r>
          </w:p>
          <w:p>
            <w:pPr>
              <w:pStyle w:val="style0"/>
              <w:spacing w:line="100" w:lineRule="atLeast"/>
            </w:pPr>
            <w:r>
              <w:rPr>
                <w:sz w:val="20"/>
                <w:szCs w:val="20"/>
              </w:rPr>
              <w:t>Warunki zaliczenia:</w:t>
            </w:r>
          </w:p>
          <w:p>
            <w:pPr>
              <w:pStyle w:val="style0"/>
              <w:spacing w:line="100" w:lineRule="atLeast"/>
            </w:pPr>
            <w:r>
              <w:rPr>
                <w:sz w:val="20"/>
                <w:szCs w:val="20"/>
              </w:rPr>
              <w:t>- dziennik praktyk wypełniony przez studenta;</w:t>
            </w:r>
          </w:p>
          <w:p>
            <w:pPr>
              <w:pStyle w:val="style0"/>
              <w:spacing w:line="100" w:lineRule="atLeast"/>
            </w:pPr>
            <w:r>
              <w:rPr>
                <w:sz w:val="20"/>
                <w:szCs w:val="20"/>
              </w:rPr>
              <w:t>- karta oceny praktyki wypełniona przez nauczyciela-opiekuna praktyki w szkole;</w:t>
            </w:r>
          </w:p>
          <w:p>
            <w:pPr>
              <w:pStyle w:val="style0"/>
              <w:spacing w:after="200" w:before="0" w:line="100" w:lineRule="atLeast"/>
            </w:pPr>
            <w:r>
              <w:rPr>
                <w:sz w:val="20"/>
                <w:szCs w:val="20"/>
              </w:rPr>
              <w:t>- pisemna analiza działań nauczyciela-opiekuna praktyk w zakresie:  rozpoznania formalnych i nieformalnych grup uczniowskich lub: podejmowanych działań na rzecz uczniów ze specjalnymi potrzebami edukacyjnymi 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22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Treści kształcenia (skrócony opis)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Student zdobywa wiedzę o funkcjonowaniu szkoły, dokonuje obserwacji uczniów podczas lekcji i zajęć pozalekcyjnych, samodzielnie przygotowuje zajęcia,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a następnie dokonuje ich krytycznej analizy. Zna program wychowawczo-dydaktyczny szkoły. Potrafi skonstruować scenariusz lekcji wychowawczej i konspekt spotkań z rodzicami.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eastAsia="ar-SA" w:val="pl-PL"/>
              </w:rPr>
              <w:t>23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  <w:lang w:val="en-GB"/>
              </w:rPr>
              <w:t>Contents of the study programme (short version)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Student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acquires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knowledge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school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functioning,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makes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observations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pupils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during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lessons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extra-curricular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activities,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individually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prepares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activities,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makes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critical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analysis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them.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Knows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educative-didactic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program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school.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able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to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construct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scenario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educational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lesson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conspectus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meetings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with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parents.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eastAsia="Times New Roman"/>
                <w:sz w:val="20"/>
                <w:szCs w:val="20"/>
              </w:rPr>
              <w:t>(tłum. DWZZ)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24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Treści kształcenia (pełny opis)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 xml:space="preserve">1. Zapoznanie się z zadaniami i sposobem funkcjonowania szkoły, w której odbywana jest praktyka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oraz realizowanym programem wychowawczym.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2. Obserwacja podczas lekcji oraz zajęć pozalekcyjnych interakcji i sposobów komunikowania się pomiędzy uczniami a nauczycielem ze szczególnym uwzględnieniem działań dyscyplinujących podejmowanych przez nauczyciela.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3. Obserwacja podczas przerw i zajęć pozalekcyjnych funkcjonowania grup uczniowskich – sytuacje współpracy i konfliktów.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4. Zapoznanie się z programem pracy pedagoga szkolnego, jego kompetencjami oraz najczęściej występującymi zachowaniami problemowymi uczniów, podejmowanymi w związku z nimi interwencjami i działaniami profilaktycznymi.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5. Obserwowanie aktywności poszczególnych uczniów, w tym uczniów o specjalnych potrzebach edukacyjnych oraz współdziałanie z opiekunem praktyk w podejmowaniu na ich rzecz indywidualnych działań pomocowych.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6. Diagnozowanie pozycji społecznej jednostek w grupie, dynamiki grup; poznawanie potrzeb, zainteresowań, zdolności i problemów uczniów; wstępne określanie obszaru dysfunkcji i zaburzeń zachowania.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7. Współdziałanie z opiekunem praktyk w sprawowaniu opieki i nadzoru nad klasą szkolną.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 xml:space="preserve">8. Przygotowanie scenariuszy do samodzielnie prowadzonych zajęć, w tym scenariuszy lekcji wychowawczych dotyczących patologii i zagrożeń społecznych oraz aktywności związanych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z kształtowaniem kompetencji społecznych uczniów.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9. Samodzielne prowadzenie zajęć o charakterze wychowawczym i dokonanie po ich przeprowadzeniu krytycznej analizy swych działań.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10. Omówienie przebiegu praktyk z opiekunem. Podsumowanie zebranych doświadczeń i skonfrontowanie ich z wiedzą teoretyczną.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 xml:space="preserve">11. Sporządzenie w oparciu o prowadzoną dokumentację praktyk raportu końcowego. 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25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Literatura podstawowa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i uzupełniająca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  <w:t>Literatura podstawowa: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Galloway C., </w:t>
            </w:r>
            <w:r>
              <w:rPr>
                <w:rFonts w:cs="Times New Roman" w:eastAsia="Calibri"/>
                <w:i/>
                <w:sz w:val="20"/>
                <w:szCs w:val="20"/>
                <w:lang w:bidi="hi-IN" w:eastAsia="hi-IN" w:val="pl-PL"/>
              </w:rPr>
              <w:t>Psychologia uczenia się i nauczania</w:t>
            </w: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, PWN Warszawa 1988.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Adler B.R., Rosenfeld L.B., Proctor R.F., </w:t>
            </w:r>
            <w:r>
              <w:rPr>
                <w:rFonts w:cs="Times New Roman" w:eastAsia="Calibri"/>
                <w:i/>
                <w:sz w:val="20"/>
                <w:szCs w:val="20"/>
                <w:lang w:bidi="hi-IN" w:eastAsia="hi-IN" w:val="pl-PL"/>
              </w:rPr>
              <w:t>Relacje interpersonalne. Proces porozumiewania si</w:t>
            </w: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ę, Dom Wydawniczy Rebis, Poznań 2006.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Janowski K., </w:t>
            </w:r>
            <w:r>
              <w:rPr>
                <w:rFonts w:cs="Times New Roman" w:eastAsia="Calibri"/>
                <w:i/>
                <w:sz w:val="20"/>
                <w:szCs w:val="20"/>
                <w:lang w:bidi="hi-IN" w:eastAsia="hi-IN" w:val="pl-PL"/>
              </w:rPr>
              <w:t>Uczeń w teatrze życia szkolnego</w:t>
            </w: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, PWN Warszawa 1987.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Skałbania B., </w:t>
            </w:r>
            <w:r>
              <w:rPr>
                <w:rFonts w:cs="Times New Roman" w:eastAsia="Calibri"/>
                <w:i/>
                <w:sz w:val="20"/>
                <w:szCs w:val="20"/>
                <w:lang w:bidi="hi-IN" w:eastAsia="hi-IN" w:val="pl-PL"/>
              </w:rPr>
              <w:t>Diagnostyka pedagogiczna. Wybrane problemy badawcze i rozwiązania praktyczne</w:t>
            </w: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, Wyd. Impuls Kraków 2011.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Pankowska D., </w:t>
            </w:r>
            <w:r>
              <w:rPr>
                <w:rFonts w:cs="Times New Roman" w:eastAsia="Calibri"/>
                <w:i/>
                <w:sz w:val="20"/>
                <w:szCs w:val="20"/>
                <w:lang w:bidi="hi-IN" w:eastAsia="hi-IN" w:val="pl-PL"/>
              </w:rPr>
              <w:t>Pedagogika dla nauczycieli w praktyce. Materiały metodyczne</w:t>
            </w: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, Impuls, Kraków 2011.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Zawisza-Masłyk E., </w:t>
            </w:r>
            <w:r>
              <w:rPr>
                <w:rFonts w:cs="Times New Roman" w:eastAsia="Calibri"/>
                <w:i/>
                <w:sz w:val="20"/>
                <w:szCs w:val="20"/>
                <w:lang w:bidi="hi-IN" w:eastAsia="hi-IN" w:val="pl-PL"/>
              </w:rPr>
              <w:t>Kompetencje społeczne gimnazjalistów i ich wychowawcze implikacje</w:t>
            </w: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, Impuls Kraków 2010.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  <w:lang w:bidi="hi-IN" w:eastAsia="hi-IN" w:val="pl-PL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b/>
                <w:sz w:val="20"/>
                <w:szCs w:val="20"/>
                <w:lang w:bidi="hi-IN" w:eastAsia="hi-IN" w:val="pl-PL"/>
              </w:rPr>
              <w:t>Literatura uzupełniająca: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Kowalczyk-Jamnicka M., Sołtysia T., </w:t>
            </w:r>
            <w:r>
              <w:rPr>
                <w:rFonts w:cs="Times New Roman" w:eastAsia="Calibri"/>
                <w:i/>
                <w:sz w:val="20"/>
                <w:szCs w:val="20"/>
                <w:lang w:bidi="hi-IN" w:eastAsia="hi-IN" w:val="pl-PL"/>
              </w:rPr>
              <w:t>Zjawiska patologiczne wśród młodzieży i możliwości przeciwdziałań</w:t>
            </w: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, Bydgoszcz 2007.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Libiszowska-Żółtkowska M., Ostrowska K. (red.), </w:t>
            </w:r>
            <w:r>
              <w:rPr>
                <w:rFonts w:cs="Times New Roman" w:eastAsia="Calibri"/>
                <w:i/>
                <w:sz w:val="20"/>
                <w:szCs w:val="20"/>
                <w:lang w:bidi="hi-IN" w:eastAsia="hi-IN" w:val="pl-PL"/>
              </w:rPr>
              <w:t>Agresja w szkole. Diagnoza i profilaktyka</w:t>
            </w: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, Warszawa 2008.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iCs/>
                <w:sz w:val="20"/>
                <w:szCs w:val="20"/>
                <w:lang w:bidi="hi-IN" w:eastAsia="hi-IN" w:val="pl-PL"/>
              </w:rPr>
              <w:t xml:space="preserve">Dambach K., </w:t>
            </w:r>
            <w:r>
              <w:rPr>
                <w:rFonts w:cs="Times New Roman" w:eastAsia="Calibri"/>
                <w:i/>
                <w:iCs/>
                <w:sz w:val="20"/>
                <w:szCs w:val="20"/>
                <w:lang w:bidi="hi-IN" w:eastAsia="hi-IN" w:val="pl-PL"/>
              </w:rPr>
              <w:t>Mobbing w szkole</w:t>
            </w:r>
            <w:r>
              <w:rPr>
                <w:rFonts w:cs="Times New Roman" w:eastAsia="Calibri"/>
                <w:iCs/>
                <w:sz w:val="20"/>
                <w:szCs w:val="20"/>
                <w:lang w:bidi="hi-IN" w:eastAsia="hi-IN" w:val="pl-PL"/>
              </w:rPr>
              <w:t>, Gdańsk 2008.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iCs/>
                <w:sz w:val="20"/>
                <w:szCs w:val="20"/>
                <w:lang w:bidi="hi-IN" w:eastAsia="hi-IN" w:val="pl-PL"/>
              </w:rPr>
              <w:t xml:space="preserve">Carson R.C., Butcher N.B., Mineka S., </w:t>
            </w:r>
            <w:r>
              <w:rPr>
                <w:rFonts w:cs="Times New Roman" w:eastAsia="Calibri"/>
                <w:i/>
                <w:iCs/>
                <w:sz w:val="20"/>
                <w:szCs w:val="20"/>
                <w:lang w:bidi="hi-IN" w:eastAsia="hi-IN" w:val="pl-PL"/>
              </w:rPr>
              <w:t>Psychologia zaburzeń</w:t>
            </w:r>
            <w:r>
              <w:rPr>
                <w:rFonts w:cs="Times New Roman" w:eastAsia="Calibri"/>
                <w:iCs/>
                <w:sz w:val="20"/>
                <w:szCs w:val="20"/>
                <w:lang w:bidi="hi-IN" w:eastAsia="hi-IN" w:val="pl-PL"/>
              </w:rPr>
              <w:t>, Gdańskie Wydawnictwo Psychologiczne, Gdańsk 2003.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26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Przyporządkowanie modułu kształcenia/ przedmiotu do obszaru/ obszarów kształcenia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27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Sposób określenia liczby punktów ECTS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28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 xml:space="preserve">Liczba punktów ECTS – zajęcia wymagające bezpośredniego </w:t>
            </w:r>
            <w:r>
              <w:rPr>
                <w:rFonts w:cs="Times New Roman" w:eastAsia="Calibri"/>
                <w:spacing w:val="-4"/>
                <w:sz w:val="20"/>
                <w:szCs w:val="20"/>
                <w:lang w:bidi="hi-IN" w:eastAsia="hi-IN" w:val="pl-PL"/>
              </w:rPr>
              <w:t>udziału nauczyciela akademickiego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6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29</w:t>
            </w:r>
          </w:p>
        </w:tc>
        <w:tc>
          <w:tcPr>
            <w:tcW w:type="dxa" w:w="29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  <w:t>Liczba punktów ECTS – zajęcia o charakterze praktycznym</w:t>
            </w:r>
          </w:p>
        </w:tc>
        <w:tc>
          <w:tcPr>
            <w:tcW w:type="dxa" w:w="57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Calibri"/>
                <w:sz w:val="20"/>
                <w:szCs w:val="20"/>
                <w:lang w:bidi="hi-IN" w:eastAsia="hi-IN" w:val="pl-PL"/>
              </w:rPr>
            </w:r>
          </w:p>
        </w:tc>
      </w:tr>
    </w:tbl>
    <w:p>
      <w:pPr>
        <w:pStyle w:val="style0"/>
        <w:keepNext/>
        <w:keepLines/>
        <w:widowControl w:val="false"/>
        <w:suppressAutoHyphens w:val="true"/>
        <w:spacing w:after="0" w:before="0" w:line="100" w:lineRule="atLeast"/>
      </w:pPr>
      <w:r>
        <w:rPr>
          <w:rFonts w:cs="Times New Roman" w:eastAsia="Times New Roman"/>
          <w:bCs/>
          <w:sz w:val="22"/>
          <w:lang w:bidi="hi-IN" w:eastAsia="hi-IN" w:val="pl-PL"/>
        </w:rPr>
      </w:r>
    </w:p>
    <w:p>
      <w:pPr>
        <w:pStyle w:val="style0"/>
        <w:spacing w:after="0" w:before="0" w:line="100" w:lineRule="atLeast"/>
      </w:pPr>
      <w:r>
        <w:rPr>
          <w:lang w:val="pl-PL"/>
        </w:rPr>
      </w:r>
    </w:p>
    <w:p>
      <w:pPr>
        <w:pStyle w:val="style0"/>
        <w:keepNext/>
        <w:keepLines/>
        <w:widowControl w:val="false"/>
        <w:suppressAutoHyphens w:val="true"/>
        <w:spacing w:after="0" w:before="0" w:line="100" w:lineRule="atLeast"/>
        <w:ind w:hanging="0" w:left="360" w:right="0"/>
      </w:pPr>
      <w:r>
        <w:rPr>
          <w:rFonts w:cs="Times New Roman" w:eastAsia="Times New Roman"/>
          <w:b/>
          <w:bCs/>
          <w:szCs w:val="24"/>
          <w:lang w:bidi="hi-IN" w:eastAsia="hi-IN" w:val="pl-PL"/>
        </w:rPr>
        <w:t xml:space="preserve">2. praktyka nauczycielska w szkołach realizujących III i IV etap edukacyjny </w:t>
      </w:r>
    </w:p>
    <w:p>
      <w:pPr>
        <w:pStyle w:val="style0"/>
        <w:spacing w:after="0" w:before="0" w:line="100" w:lineRule="atLeast"/>
      </w:pPr>
      <w:r>
        <w:rPr>
          <w:lang w:bidi="hi-IN" w:eastAsia="hi-IN" w:val="pl-PL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"/>
      </w:tblPr>
      <w:tblGrid>
        <w:gridCol w:w="709"/>
        <w:gridCol w:w="2835"/>
        <w:gridCol w:w="5812"/>
      </w:tblGrid>
      <w:tr>
        <w:trPr>
          <w:trHeight w:hRule="atLeast" w:val="618"/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b/>
                <w:bCs/>
                <w:sz w:val="20"/>
                <w:szCs w:val="20"/>
                <w:lang w:bidi="hi-IN" w:eastAsia="hi-IN" w:val="pl-PL"/>
              </w:rPr>
              <w:t>Nr pola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bookmarkStart w:id="0" w:name="_GoBack"/>
            <w:bookmarkEnd w:id="0"/>
            <w:r>
              <w:rPr>
                <w:rFonts w:cs="Times New Roman" w:eastAsia="Times New Roman"/>
                <w:b/>
                <w:bCs/>
                <w:sz w:val="20"/>
                <w:szCs w:val="20"/>
                <w:lang w:bidi="hi-IN" w:eastAsia="hi-IN" w:val="pl-PL"/>
              </w:rPr>
              <w:t>Nazwa pola</w:t>
            </w:r>
          </w:p>
        </w:tc>
        <w:tc>
          <w:tcPr>
            <w:tcW w:type="dxa" w:w="5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b/>
                <w:bCs/>
                <w:sz w:val="20"/>
                <w:szCs w:val="20"/>
                <w:lang w:bidi="hi-IN" w:eastAsia="hi-IN" w:val="pl-PL"/>
              </w:rPr>
              <w:t>Opis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Jednostka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Instytut Humanistyczny – Zakład Filologii Polskiej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Kierunek studiów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filologia polska, studia II stopnia – profil praktyczny, tryb stacjonarny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3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Nazwa modułu kształcenia/ przedmiotu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praktyka nauczycielska w szkołach realizujących III i IV etap edukacyjny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4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Kod modułu kształcenia/ przedmiotu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5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Kod Erasmusa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 </w:t>
            </w: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05.1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6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Punkty ECTS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14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7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Rodzaj modułu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8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Rok studiów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II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9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Semestr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4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10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Typ zajęć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 xml:space="preserve">praktyka 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11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Liczba godzin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 </w:t>
            </w:r>
            <w:r>
              <w:rPr>
                <w:rFonts w:cs="Times New Roman" w:eastAsia="Times New Roman"/>
                <w:sz w:val="20"/>
                <w:szCs w:val="20"/>
              </w:rPr>
              <w:t>330 (w ciągu 12 tygodni / 3 miesięcy)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12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Koordynator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 </w:t>
            </w:r>
            <w:r>
              <w:rPr>
                <w:rFonts w:cs="Times New Roman" w:eastAsia="Times New Roman"/>
                <w:sz w:val="20"/>
                <w:szCs w:val="20"/>
              </w:rPr>
              <w:t>prof. dr hab. Jadwiga Kowalikowa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13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Prowadzący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 xml:space="preserve">Opiekunowie praktyk w ZFP: dr Krystyna Choińska, doc. PWSZ;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dr Małgorzata Pachowicz, doc. PWSZ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14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Język wykładowy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 xml:space="preserve"> </w:t>
            </w: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polski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15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Zakres nauk podstawowych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 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16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Zajęcia ogólnouczelniane/ na innym kierunku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17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Wymagania wstępne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747" w:val="left"/>
              </w:tabs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</w:rPr>
              <w:t>Przygotowanie psychologiczno-pedagogiczne i dydaktyczne do nauczania w szkole podstawowej.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18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Efekty kształcenia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Zgodne ze standardami kształcenia przygotowującego  do wykonywania zawodu nauczyciela.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 </w:t>
            </w:r>
            <w:r>
              <w:rPr>
                <w:rFonts w:cs="Times New Roman" w:eastAsia="Times New Roman"/>
                <w:sz w:val="20"/>
                <w:szCs w:val="20"/>
              </w:rPr>
              <w:t>Student: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1) posiada wiedzę na temat: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tabs>
                <w:tab w:leader="none" w:pos="-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współczesnych teorii dotyczących wychowania, uczenia się i nauczania oraz różnorodnych uwarunkowań tych procesów,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tabs>
                <w:tab w:leader="none" w:pos="-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struktury i funkcji systemu edukacji – celów, podstaw prawnych organizacji i funkcjonowania instytucji edukacyjnych,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tabs>
                <w:tab w:leader="none" w:pos="-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specyfiki funkcjonowania uczniów ze specjalnymi potrzebami edukacyjnymi, w tym uczniów szczególnie uzdolnionych,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tabs>
                <w:tab w:leader="none" w:pos="-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bezpieczeństwa i higieny pracy w gimnazjum i szkole ponadgimnazjalnej, do pracy w której uzyskuje przygotowanie,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tabs>
                <w:tab w:leader="none" w:pos="-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projektowania ścieżki własnego rozwoju i awansu zawodowego,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tabs>
                <w:tab w:leader="none" w:pos="-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etyki zawodu nauczyciela;</w:t>
            </w:r>
          </w:p>
          <w:p>
            <w:pPr>
              <w:pStyle w:val="style0"/>
              <w:tabs>
                <w:tab w:leader="none" w:pos="270" w:val="left"/>
              </w:tabs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2)  w zakresie umiejętności: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dokonywać obserwacji sytuacji i zdarzeń pedagogicznych,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wykorzystywać wiedzę teoretyczną z zakresu pedagogiki oraz psychologii do analizowania i interpretowania określonego rodzaju sytuacji i zdarzeń pedagogicznych, a także motywów i wzorów zachowań uczestników tych sytuacji,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posługiwać się wiedzą teoretyczną z zakresu pedagogiki, psychologii oraz dydaktyki i metodyki szczegółowej w celu diagnozowania, analizowania i prognozowania sytuacji pedagogicznych oraz dobierania strategii realizowania działań praktycznych na III i IV etapie edukacyjnym,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samodzielnie zdobywać wiedzę i rozwijać swoje profesjonalne umiejętności związane z działalnością pedagogiczną (dydaktyczną, wychowawczą i opiekuńczą), korzystając z różnych źródeł (w języku polskim i obcym) i nowoczesnych technologii,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posiada rozwinięte kompetencje komunikacyjne: potrafi porozumiewać się z osobami pochodzącymi z różnych środowisk, będącymi w różnej kondycji emocjonalnej, dialogowo rozwiązywać konflikty i konstruować dobrą atmosferę dla komunikacji w klasie szkolnej,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ocenić przydatność typowych metod, procedur i dobrych praktyk do realizacji zadań dydaktycznych, wychowawczych i opiekuńczych związanych z III i IV etapem edukacyjnym,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dobierać i wykorzystywać dostępne materiały, środki i metody pracy w celu projektowania i efektywnego realizowania działań pedagogicznych (dydaktycznych, wychowawczych i opiekuńczych) oraz wykorzystywać nowoczesne technologie do pracy dydaktycznej,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kierować procesami kształcenia i wychowania, posiada umiejętność pracy z grupą (zespołem wychowawczym, klasowym),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animować prace nad rozwojem uczestników procesów pedagogicznych, wspierać ich samodzielność w zdobywaniu wiedzy oraz inspirować do działań na rzecz uczenia się przez całe życie,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pracować z uczniami, indywidualizować zadania i dostosowywać metody i treści do potrzeb i możliwości uczniów (w tym uczniów ze specjalnymi potrzebami edukacyjnymi) oraz zmian zachodzących w świecie i w nauce,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posługiwać się zasadami i normami etycznymi w wykonywanej działalności,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pracować w zespole, pełniąc różne role; umie podejmować i wyznaczać zadania; posiada elementarne umiejętności organizacyjne pozwalające na realizację działań pedagogicznych (dydaktycznych wychowawczych i opiekuńczych), posiada umiejętność współpracy z innymi nauczycielami, pedagogami i rodzicami uczniów,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analizować własne działania pedagogiczne (dydaktyczne, wychowawcze i opiekuńcze) i wskazywać obszary wymagające modyfikacji, potrafi eksperymentować i wdrażać działania innowacyjne,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potrafi zaprojektować plan własnego rozwoju zawodowego;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3)  w zakresie kompetencji społecznych:</w:t>
            </w:r>
          </w:p>
          <w:p>
            <w:pPr>
              <w:pStyle w:val="style0"/>
              <w:widowControl w:val="false"/>
              <w:numPr>
                <w:ilvl w:val="0"/>
                <w:numId w:val="7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ma świadomość poziomu swojej wiedzy i umiejętności; rozumie potrzebę ciągłego dokształcania się zawodowego i rozwoju osobistego; dokonuje oceny własnych kompetencji i doskonali umiejętności w trakcie realizowania działań pedagogicznych (dydaktycznych, wychowawczych i opiekuńczych),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jest przekonany o sensie, wartości i potrzebie podejmowania działań pedagogicznych w środowisku społecznym; jest gotowy do podejmowania wyzwań zawodowych; wykazuje aktywność, podejmuje trud i odznacza się wytrwałością w realizacji indywidualnych i zespołowych zadań zawodowych wynikających z roli nauczyciela,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ma świadomość konieczności prowadzenia zindywidualizowanych działań pedagogicznych (dydaktycznych, wychowawczych i opiekuńczych) w stosunku do uczniów ze specjalnymi potrzebami edukacyjnymi,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ma świadomość znaczenia profesjonalizmu, refleksji na tematy etyczne i przestrzegania zasad etyki zawodowej; wykazuje cechy refleksyjnego praktyka,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ma świadomość istnienia etycznego wymiaru diagnozowania i oceniania uczniów,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odpowiedzialnie przygotowuje się do swojej pracy, projektuje i wykonuje działania pedagogiczne (dydaktyczne, wychowawcze i opiekuńcze),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jest gotowy do podejmowania indywidualnych i zespołowych działań na rzecz podnoszenia jakości pracy szkoły.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19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Stosowane metody dydaktyczne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548" w:val="left"/>
              </w:tabs>
              <w:spacing w:line="100" w:lineRule="atLeast"/>
              <w:ind w:hanging="0" w:left="132" w:right="0"/>
            </w:pPr>
            <w:r>
              <w:rPr>
                <w:sz w:val="20"/>
                <w:szCs w:val="20"/>
              </w:rPr>
              <w:t xml:space="preserve">zajęcia praktyczne, w tym: 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leader="none" w:pos="548" w:val="left"/>
              </w:tabs>
              <w:spacing w:after="0" w:before="0" w:line="100" w:lineRule="atLeast"/>
              <w:ind w:hanging="0" w:left="132" w:right="0"/>
            </w:pPr>
            <w:r>
              <w:rPr>
                <w:sz w:val="20"/>
                <w:szCs w:val="20"/>
              </w:rPr>
              <w:t>hospitowanie lekcji języka polskiego – w pierwszym tygodniu – 18 g.; w drugim tygodniu – 18 g., w pozostałych dziesięciu tygodniach – łącznie 42 g.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leader="none" w:pos="548" w:val="left"/>
              </w:tabs>
              <w:spacing w:after="0" w:before="0" w:line="100" w:lineRule="atLeast"/>
              <w:ind w:hanging="0" w:left="132" w:right="0"/>
            </w:pPr>
            <w:r>
              <w:rPr>
                <w:sz w:val="20"/>
                <w:szCs w:val="20"/>
              </w:rPr>
              <w:t>prowadzenie lekcji języka polskiego – 90 g. (10 tygodni x 9 g.);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leader="none" w:pos="548" w:val="left"/>
              </w:tabs>
              <w:spacing w:after="0" w:before="0" w:line="100" w:lineRule="atLeast"/>
              <w:ind w:hanging="0" w:left="132" w:right="0"/>
            </w:pPr>
            <w:r>
              <w:rPr>
                <w:sz w:val="20"/>
                <w:szCs w:val="20"/>
              </w:rPr>
              <w:t>zajęcia dodatkowe związane z programem praktyki – 62 g.;</w:t>
            </w:r>
          </w:p>
          <w:p>
            <w:pPr>
              <w:pStyle w:val="style0"/>
              <w:numPr>
                <w:ilvl w:val="0"/>
                <w:numId w:val="14"/>
              </w:numPr>
              <w:tabs>
                <w:tab w:leader="none" w:pos="548" w:val="left"/>
              </w:tabs>
              <w:spacing w:after="0" w:before="0" w:line="100" w:lineRule="atLeast"/>
              <w:ind w:hanging="0" w:left="132" w:right="0"/>
            </w:pPr>
            <w:r>
              <w:rPr>
                <w:sz w:val="20"/>
                <w:szCs w:val="20"/>
              </w:rPr>
              <w:t>samokształcenie – 70 g .</w:t>
            </w:r>
          </w:p>
          <w:p>
            <w:pPr>
              <w:pStyle w:val="style0"/>
              <w:widowControl w:val="false"/>
              <w:numPr>
                <w:ilvl w:val="0"/>
                <w:numId w:val="8"/>
              </w:numPr>
              <w:tabs>
                <w:tab w:leader="none" w:pos="715" w:val="left"/>
              </w:tabs>
              <w:suppressAutoHyphens w:val="true"/>
              <w:spacing w:after="0" w:before="0" w:line="100" w:lineRule="atLeast"/>
              <w:ind w:hanging="0" w:left="454" w:right="0"/>
            </w:pPr>
            <w:r>
              <w:rPr>
                <w:rFonts w:eastAsia="Times New Roman"/>
                <w:sz w:val="20"/>
                <w:szCs w:val="20"/>
              </w:rPr>
              <w:t>zaangażowanie w wydarzenia wzbogacające proces nauczania, np.  wycieczki klasowe, wspólne wyjścia uczniów do teatru lub kina, okolicznościowe  spotkania, działalność kół zainteresowań – 30 g.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20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Metody sprawdzania i kryteria oceny efektów kształcenia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5"/>
              </w:numPr>
              <w:spacing w:after="0" w:before="0" w:line="100" w:lineRule="atLeast"/>
              <w:ind w:hanging="0" w:left="132" w:right="0"/>
            </w:pPr>
            <w:r>
              <w:rPr>
                <w:sz w:val="20"/>
                <w:szCs w:val="20"/>
              </w:rPr>
              <w:t>opinia nauczyciela-opiekuna praktyk w szkole (w Karcie oceny praktyki) sformułowana na podstawie wypełnionego przez studenta dziennika praktyk, obserwacji studenta podczas realizacji programu praktyki oraz pisemnej samooceny studenta;</w:t>
            </w:r>
          </w:p>
          <w:p>
            <w:pPr>
              <w:pStyle w:val="style0"/>
              <w:numPr>
                <w:ilvl w:val="0"/>
                <w:numId w:val="15"/>
              </w:numPr>
              <w:spacing w:after="0" w:before="0" w:line="100" w:lineRule="atLeast"/>
              <w:ind w:hanging="0" w:left="132" w:right="0"/>
            </w:pPr>
            <w:r>
              <w:rPr>
                <w:sz w:val="20"/>
                <w:szCs w:val="20"/>
              </w:rPr>
              <w:t>10 konspektów przeprowadzonych lekcji języka polskiego ocenionych przez nauczyciela języka polskiego-opiekuna praktyk w szkole,</w:t>
            </w:r>
          </w:p>
          <w:p>
            <w:pPr>
              <w:pStyle w:val="style0"/>
              <w:numPr>
                <w:ilvl w:val="0"/>
                <w:numId w:val="15"/>
              </w:numPr>
              <w:spacing w:after="0" w:before="0" w:line="100" w:lineRule="atLeast"/>
              <w:ind w:hanging="0" w:left="132" w:right="0"/>
            </w:pPr>
            <w:r>
              <w:rPr>
                <w:sz w:val="20"/>
                <w:szCs w:val="20"/>
              </w:rPr>
              <w:t xml:space="preserve">pisemna samoocena studenta po realizacji praktyki zawodowej z uwzględnieniem mocnych i słabych stron.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261" w:right="0"/>
            </w:pPr>
            <w:r>
              <w:rPr>
                <w:rFonts w:cs="Times New Roman" w:eastAsia="Times New Roman"/>
                <w:sz w:val="20"/>
                <w:szCs w:val="20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21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Forma i warunki zaliczenia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line="100" w:lineRule="atLeast"/>
              <w:ind w:hanging="0" w:left="132" w:right="0"/>
            </w:pPr>
            <w:r>
              <w:rPr>
                <w:b/>
                <w:sz w:val="20"/>
                <w:szCs w:val="20"/>
              </w:rPr>
              <w:t>Forma zaliczenia: zaliczenie z oceną po semestrze 6.</w:t>
            </w:r>
          </w:p>
          <w:p>
            <w:pPr>
              <w:pStyle w:val="style0"/>
              <w:spacing w:line="100" w:lineRule="atLeast"/>
              <w:ind w:hanging="0" w:left="132" w:right="0"/>
            </w:pPr>
            <w:r>
              <w:rPr>
                <w:sz w:val="20"/>
                <w:szCs w:val="20"/>
              </w:rPr>
              <w:t>Warunki zaliczenia: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sz w:val="20"/>
                <w:szCs w:val="20"/>
              </w:rPr>
              <w:t>- zaliczenie z oceną na podstawie dokumentacji praktyki zgodnej z programem praktyki.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22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Treści kształcenia (skrócony opis)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Celem praktyki jest gromadzenie doświadczeń związanych z pracą w pełnym zakresie obowiązków nauczyciela-polonisty pracującego w gimnazjum lub szkole ponadgimnazjalnej.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Praktyka odbywa się w gimnazjum lub w szkole ponadgimnazjalnej pod opieką praktyka – nauczyciela-polonisty.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eastAsia="ar-SA" w:val="pl-PL"/>
              </w:rPr>
              <w:t>23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  <w:lang w:val="en-GB"/>
              </w:rPr>
              <w:t>Contents of the study programme (short version)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LineNumbers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The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aim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training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is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gathering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experience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related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to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work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the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full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range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responsibilities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teacher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Polish,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working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junior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high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school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or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high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school.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Training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takes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place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junior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high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school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or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high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school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under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the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care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a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practitioner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–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a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teacher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bidi="hi-IN" w:eastAsia="zh-CN" w:val="en-US"/>
              </w:rPr>
              <w:t xml:space="preserve"> </w:t>
            </w:r>
            <w:r>
              <w:rPr>
                <w:rFonts w:cs="Times New Roman" w:eastAsia="SimSun"/>
                <w:sz w:val="20"/>
                <w:szCs w:val="20"/>
                <w:lang w:bidi="hi-IN" w:eastAsia="zh-CN" w:val="en-US"/>
              </w:rPr>
              <w:t xml:space="preserve">Polish. </w:t>
            </w:r>
            <w:r>
              <w:rPr>
                <w:rFonts w:cs="Times New Roman" w:eastAsia="SimSun"/>
                <w:sz w:val="20"/>
                <w:szCs w:val="20"/>
                <w:lang w:bidi="hi-IN" w:eastAsia="zh-CN"/>
              </w:rPr>
              <w:t>(tłum. DWZZ)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24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Treści kształcenia (pełny opis)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1)   Zapoznanie się ze specyfiką gimnazjum lub szkoły ponadgimnazjalnej, w której praktyka jest odbywana, w szczególności poznanie realizowanych zadań opiekuńczo-wychowawczych, sposobu funkcjonowania, organizacji pracy, pracowników, uczestników procesów pedagogicznych oraz prowadzonej dokumentacji.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2)   Obserwowanie:</w:t>
            </w:r>
          </w:p>
          <w:p>
            <w:pPr>
              <w:pStyle w:val="style0"/>
              <w:widowControl w:val="false"/>
              <w:numPr>
                <w:ilvl w:val="0"/>
                <w:numId w:val="13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zorganizowanej i podejmowanej spontanicznie aktywności formalnych i nieformalnych grup uczniów,</w:t>
            </w:r>
          </w:p>
          <w:p>
            <w:pPr>
              <w:pStyle w:val="style0"/>
              <w:widowControl w:val="false"/>
              <w:numPr>
                <w:ilvl w:val="0"/>
                <w:numId w:val="9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aktywności poszczególnych uczniów, w tym uczniów ze specjalnymi potrzebami edukacyjnymi,</w:t>
            </w:r>
          </w:p>
          <w:p>
            <w:pPr>
              <w:pStyle w:val="style0"/>
              <w:widowControl w:val="false"/>
              <w:numPr>
                <w:ilvl w:val="0"/>
                <w:numId w:val="9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interakcji dorosły (nauczyciel, wychowawca) – dziecko oraz interakcji między dziećmi i młodzieżą (w tym samym i w różnym wieku),</w:t>
            </w:r>
          </w:p>
          <w:p>
            <w:pPr>
              <w:pStyle w:val="style0"/>
              <w:widowControl w:val="false"/>
              <w:numPr>
                <w:ilvl w:val="0"/>
                <w:numId w:val="9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>
            <w:pPr>
              <w:pStyle w:val="style0"/>
              <w:widowControl w:val="false"/>
              <w:numPr>
                <w:ilvl w:val="0"/>
                <w:numId w:val="9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czynności podejmowanych przez opiekuna praktyk oraz prowadzonych przez niego zajęć,</w:t>
            </w:r>
          </w:p>
          <w:p>
            <w:pPr>
              <w:pStyle w:val="style0"/>
              <w:widowControl w:val="false"/>
              <w:numPr>
                <w:ilvl w:val="0"/>
                <w:numId w:val="9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sposobu integrowania przez opiekuna praktyk różnej działalności, w tym opiekuńczo-wychowawczej, dydaktycznej, pomocowej i terapeutycznej,</w:t>
            </w:r>
          </w:p>
          <w:p>
            <w:pPr>
              <w:pStyle w:val="style0"/>
              <w:widowControl w:val="false"/>
              <w:numPr>
                <w:ilvl w:val="0"/>
                <w:numId w:val="9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dynamiki grupy, ról pełnionych przez uczestników grupy, zachowania i postaw dzieci i młodzieży,</w:t>
            </w:r>
          </w:p>
          <w:p>
            <w:pPr>
              <w:pStyle w:val="style0"/>
              <w:widowControl w:val="false"/>
              <w:numPr>
                <w:ilvl w:val="0"/>
                <w:numId w:val="9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działań podejmowanych przez opiekuna praktyk na rzecz zapewnienia bezpieczeństwa i zachowania dyscypliny w grupie.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3)   Współdziałanie z opiekunem praktyk w:</w:t>
            </w:r>
          </w:p>
          <w:p>
            <w:pPr>
              <w:pStyle w:val="style0"/>
              <w:widowControl w:val="false"/>
              <w:numPr>
                <w:ilvl w:val="1"/>
                <w:numId w:val="10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sprawowaniu opieki i nadzoru nad grupą oraz zapewnianiu bezpieczeństwa,</w:t>
            </w:r>
          </w:p>
          <w:p>
            <w:pPr>
              <w:pStyle w:val="style0"/>
              <w:widowControl w:val="false"/>
              <w:numPr>
                <w:ilvl w:val="1"/>
                <w:numId w:val="10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podejmowaniu działań wychowawczych wynikających z zastanych sytuacji,</w:t>
            </w:r>
          </w:p>
          <w:p>
            <w:pPr>
              <w:pStyle w:val="style0"/>
              <w:widowControl w:val="false"/>
              <w:numPr>
                <w:ilvl w:val="1"/>
                <w:numId w:val="10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prowadzeniu zorganizowanych zajęć wychowawczych,</w:t>
            </w:r>
          </w:p>
          <w:p>
            <w:pPr>
              <w:pStyle w:val="style0"/>
              <w:widowControl w:val="false"/>
              <w:numPr>
                <w:ilvl w:val="1"/>
                <w:numId w:val="10"/>
              </w:numPr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podejmowaniu działań na rzecz uczniów ze specjalnymi potrzebami edukacyjnymi.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4)  Pełnienie roli opiekuna-wychowawcy, w szczególności:</w:t>
            </w:r>
          </w:p>
          <w:p>
            <w:pPr>
              <w:pStyle w:val="style0"/>
              <w:widowControl w:val="false"/>
              <w:numPr>
                <w:ilvl w:val="1"/>
                <w:numId w:val="11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diagnozowanie dynamiki grupy oraz pozycji jednostek w grupie,</w:t>
            </w:r>
          </w:p>
          <w:p>
            <w:pPr>
              <w:pStyle w:val="style0"/>
              <w:widowControl w:val="false"/>
              <w:numPr>
                <w:ilvl w:val="1"/>
                <w:numId w:val="11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poznawanie uczniów i wychowanków, ich sytuacji społecznej, potrzeb, zainteresowań i zdolności, a także określanie poziomu rozwoju oraz wstępne diagnozowanie dysfunkcji i zaburzeń,</w:t>
            </w:r>
          </w:p>
          <w:p>
            <w:pPr>
              <w:pStyle w:val="style0"/>
              <w:widowControl w:val="false"/>
              <w:numPr>
                <w:ilvl w:val="1"/>
                <w:numId w:val="11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samodzielne prowadzenie działań opiekuńczo-wychowawczych wobec grupy i poszczególnych uczniów i wychowanków w grupie,</w:t>
            </w:r>
          </w:p>
          <w:p>
            <w:pPr>
              <w:pStyle w:val="style0"/>
              <w:widowControl w:val="false"/>
              <w:numPr>
                <w:ilvl w:val="1"/>
                <w:numId w:val="11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sprawowanie opieki nad grupą w toku spontanicznej aktywności uczniów i wychowanków,</w:t>
            </w:r>
          </w:p>
          <w:p>
            <w:pPr>
              <w:pStyle w:val="style0"/>
              <w:widowControl w:val="false"/>
              <w:numPr>
                <w:ilvl w:val="1"/>
                <w:numId w:val="11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organizację i prowadzenie zajęć wychowawczych (w tym zajęć integrujących grupę i działań profilaktycznych) w oparciu o samodzielnie opracowywane scenariusze,</w:t>
            </w:r>
          </w:p>
          <w:p>
            <w:pPr>
              <w:pStyle w:val="style0"/>
              <w:widowControl w:val="false"/>
              <w:numPr>
                <w:ilvl w:val="1"/>
                <w:numId w:val="11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animowanie aktywności grupy i współdziałania jej uczestników, organizowanie pracy uczniów i wychowanków w grupach zadaniowych</w:t>
            </w:r>
          </w:p>
          <w:p>
            <w:pPr>
              <w:pStyle w:val="style0"/>
              <w:widowControl w:val="false"/>
              <w:numPr>
                <w:ilvl w:val="1"/>
                <w:numId w:val="11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>
            <w:pPr>
              <w:pStyle w:val="style0"/>
              <w:widowControl w:val="false"/>
              <w:numPr>
                <w:ilvl w:val="1"/>
                <w:numId w:val="11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podejmowanie działań wychowawczych o charakterze interwencyjnym w sytuacjach konfliktu, zagrożenia bezpieczeństwa, naruszania praw innych lub nieprzestrzegania ustalonych zasad,</w:t>
            </w:r>
          </w:p>
          <w:p>
            <w:pPr>
              <w:pStyle w:val="style0"/>
              <w:widowControl w:val="false"/>
              <w:numPr>
                <w:ilvl w:val="1"/>
                <w:numId w:val="11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sprawowanie opieki nad uczniami i wychowankami poza terenem szkoły.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5)  Analiza i interpretacja zaobserwowanych albo doświadczanych sytuacji i zdarzeń pedagogicznych, w tym:</w:t>
            </w:r>
          </w:p>
          <w:p>
            <w:pPr>
              <w:pStyle w:val="style0"/>
              <w:widowControl w:val="false"/>
              <w:numPr>
                <w:ilvl w:val="1"/>
                <w:numId w:val="12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prowadzenie dokumentacji praktyki,</w:t>
            </w:r>
          </w:p>
          <w:p>
            <w:pPr>
              <w:pStyle w:val="style0"/>
              <w:widowControl w:val="false"/>
              <w:numPr>
                <w:ilvl w:val="1"/>
                <w:numId w:val="12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konfrontowanie wiedzy teoretycznej z praktyką,</w:t>
            </w:r>
          </w:p>
          <w:p>
            <w:pPr>
              <w:pStyle w:val="style0"/>
              <w:widowControl w:val="false"/>
              <w:numPr>
                <w:ilvl w:val="1"/>
                <w:numId w:val="12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ocena własnego funkcjonowania w toku realizowania zadań opiekuńczych i wychowawczych (dostrzeganie swoich mocnych i słabych stron),</w:t>
            </w:r>
          </w:p>
          <w:p>
            <w:pPr>
              <w:pStyle w:val="style0"/>
              <w:widowControl w:val="false"/>
              <w:numPr>
                <w:ilvl w:val="1"/>
                <w:numId w:val="12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ocena przebiegu prowadzonych działań oraz realizacji zamierzonych celów,</w:t>
            </w:r>
          </w:p>
          <w:p>
            <w:pPr>
              <w:pStyle w:val="style0"/>
              <w:widowControl w:val="false"/>
              <w:numPr>
                <w:ilvl w:val="1"/>
                <w:numId w:val="12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konsultacje z opiekunem praktyk w celu omawiania obserwowanych sytuacji i przeprowadzanych działań,</w:t>
            </w:r>
          </w:p>
          <w:p>
            <w:pPr>
              <w:pStyle w:val="style0"/>
              <w:widowControl w:val="false"/>
              <w:numPr>
                <w:ilvl w:val="1"/>
                <w:numId w:val="12"/>
              </w:numPr>
              <w:tabs>
                <w:tab w:leader="none" w:pos="69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omawianie zgromadzonych doświadczeń w grupie studentów (słuchaczy).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25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 xml:space="preserve">Literatura podstawowa 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i uzupełniająca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Zgodna z wykazem literatury podstawowej i uzupełniającej do przedmiotu: metodyka nauczania literatury i języka polskiego.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26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Przyporządkowanie modułu kształcenia/przedmiotu do obszaru/ obszarów kształcenia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 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vMerge w:val="restart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27</w:t>
            </w:r>
          </w:p>
        </w:tc>
        <w:tc>
          <w:tcPr>
            <w:tcW w:type="dxa" w:w="2835"/>
            <w:vMerge w:val="restart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Sposób określenia liczby punktów ECTS</w:t>
            </w:r>
          </w:p>
        </w:tc>
        <w:tc>
          <w:tcPr>
            <w:tcW w:type="dxa" w:w="5812"/>
            <w:vMerge w:val="restart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 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Arial Unicode MS"/>
                <w:sz w:val="20"/>
                <w:szCs w:val="20"/>
                <w:lang w:bidi="hi-IN" w:eastAsia="hi-IN" w:val="pl-PL"/>
              </w:rPr>
            </w:r>
          </w:p>
        </w:tc>
        <w:tc>
          <w:tcPr>
            <w:tcW w:type="dxa" w:w="2835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Arial Unicode MS"/>
                <w:sz w:val="20"/>
                <w:szCs w:val="20"/>
                <w:lang w:bidi="hi-IN" w:eastAsia="hi-IN" w:val="pl-PL"/>
              </w:rPr>
            </w:r>
          </w:p>
        </w:tc>
        <w:tc>
          <w:tcPr>
            <w:tcW w:type="dxa" w:w="5812"/>
            <w:vMerge w:val="continue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Arial Unicode MS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28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Liczba punktów ECTS – zajęcia wymagające bezpośredniego udziału nauczyciela akademickiego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 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29</w:t>
            </w:r>
          </w:p>
        </w:tc>
        <w:tc>
          <w:tcPr>
            <w:tcW w:type="dxa" w:w="2835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57" w:right="0"/>
            </w:pPr>
            <w:r>
              <w:rPr>
                <w:rFonts w:cs="Times New Roman" w:eastAsia="Times New Roman"/>
                <w:bCs/>
                <w:sz w:val="20"/>
                <w:szCs w:val="20"/>
                <w:lang w:bidi="hi-IN" w:eastAsia="hi-IN" w:val="pl-PL"/>
              </w:rPr>
              <w:t>Liczba punktów ECTS – zajęcia o charakterze praktycznym</w:t>
            </w:r>
          </w:p>
        </w:tc>
        <w:tc>
          <w:tcPr>
            <w:tcW w:type="dxa" w:w="581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 </w:t>
            </w:r>
          </w:p>
        </w:tc>
      </w:tr>
    </w:tbl>
    <w:p>
      <w:pPr>
        <w:pStyle w:val="style0"/>
        <w:widowControl/>
        <w:spacing w:after="200" w:before="0" w:line="276" w:lineRule="auto"/>
        <w:ind w:hanging="0" w:left="0" w:right="0"/>
        <w:jc w:val="left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1.%2.%3."/>
      <w:lvlJc w:val="left"/>
      <w:pPr>
        <w:ind w:hanging="360" w:left="1440"/>
      </w:pPr>
    </w:lvl>
    <w:lvl w:ilvl="3">
      <w:start w:val="1"/>
      <w:numFmt w:val="decimal"/>
      <w:lvlText w:val="%1.%2.%3.%4."/>
      <w:lvlJc w:val="left"/>
      <w:pPr>
        <w:ind w:hanging="360" w:left="1800"/>
      </w:pPr>
    </w:lvl>
    <w:lvl w:ilvl="4">
      <w:start w:val="1"/>
      <w:numFmt w:val="lowerLetter"/>
      <w:lvlText w:val="%1.%2.%3.%4.%5."/>
      <w:lvlJc w:val="left"/>
      <w:pPr>
        <w:ind w:hanging="360" w:left="2160"/>
      </w:pPr>
    </w:lvl>
    <w:lvl w:ilvl="5">
      <w:start w:val="1"/>
      <w:numFmt w:val="lowerRoman"/>
      <w:lvlText w:val="%1.%2.%3.%4.%5.%6."/>
      <w:lvlJc w:val="left"/>
      <w:pPr>
        <w:ind w:hanging="360" w:left="2520"/>
      </w:pPr>
    </w:lvl>
    <w:lvl w:ilvl="6">
      <w:start w:val="1"/>
      <w:numFmt w:val="decimal"/>
      <w:lvlText w:val="%1.%2.%3.%4.%5.%6.%7."/>
      <w:lvlJc w:val="left"/>
      <w:pPr>
        <w:ind w:hanging="360" w:left="2880"/>
      </w:pPr>
    </w:lvl>
    <w:lvl w:ilvl="7">
      <w:start w:val="1"/>
      <w:numFmt w:val="lowerLetter"/>
      <w:lvlText w:val="%1.%2.%3.%4.%5.%6.%7.%8."/>
      <w:lvlJc w:val="left"/>
      <w:pPr>
        <w:ind w:hanging="360" w:left="3240"/>
      </w:pPr>
    </w:lvl>
    <w:lvl w:ilvl="8">
      <w:start w:val="1"/>
      <w:numFmt w:val="lowerRoman"/>
      <w:lvlText w:val="%1.%2.%3.%4.%5.%6.%7.%8.%9."/>
      <w:lvlJc w:val="left"/>
      <w:pPr>
        <w:ind w:hanging="360" w:left="3600"/>
      </w:pPr>
    </w:lvl>
  </w:abstractNum>
  <w:abstractNum w:abstractNumId="9">
    <w:lvl w:ilvl="0">
      <w:start w:val="1"/>
      <w:numFmt w:val="bullet"/>
      <w:lvlText w:val="–"/>
      <w:lvlJc w:val="left"/>
      <w:pPr>
        <w:ind w:hanging="360" w:left="720"/>
      </w:pPr>
      <w:rPr>
        <w:rFonts w:ascii="Times New Roman" w:cs="Times New Roman" w:hAnsi="Times New Roman" w:hint="default"/>
        <w:color w:val="00000A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–"/>
      <w:lvlJc w:val="left"/>
      <w:pPr>
        <w:ind w:hanging="360" w:left="720"/>
      </w:pPr>
      <w:rPr>
        <w:rFonts w:ascii="Times New Roman" w:cs="Times New Roman" w:hAnsi="Times New Roman" w:hint="default"/>
        <w:color w:val="00000A"/>
      </w:rPr>
    </w:lvl>
    <w:lvl w:ilvl="1">
      <w:start w:val="1"/>
      <w:numFmt w:val="bullet"/>
      <w:lvlText w:val="–"/>
      <w:lvlJc w:val="left"/>
      <w:pPr>
        <w:ind w:hanging="360" w:left="1080"/>
      </w:pPr>
      <w:rPr>
        <w:rFonts w:ascii="Times New Roman" w:cs="Times New Roman" w:hAnsi="Times New Roman" w:hint="default"/>
        <w:color w:val="00000A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bullet"/>
      <w:lvlText w:val="–"/>
      <w:lvlJc w:val="left"/>
      <w:pPr>
        <w:ind w:hanging="360" w:left="1080"/>
      </w:pPr>
      <w:rPr>
        <w:rFonts w:ascii="Times New Roman" w:cs="Times New Roman" w:hAnsi="Times New Roman" w:hint="default"/>
        <w:color w:val="00000A"/>
      </w:rPr>
    </w:lvl>
    <w:lvl w:ilvl="2">
      <w:start w:val="1"/>
      <w:numFmt w:val="lowerRoman"/>
      <w:lvlText w:val="%1.%2.%3."/>
      <w:lvlJc w:val="left"/>
      <w:pPr>
        <w:ind w:hanging="360" w:left="1440"/>
      </w:pPr>
    </w:lvl>
    <w:lvl w:ilvl="3">
      <w:start w:val="1"/>
      <w:numFmt w:val="decimal"/>
      <w:lvlText w:val="%1.%2.%3.%4."/>
      <w:lvlJc w:val="left"/>
      <w:pPr>
        <w:ind w:hanging="360" w:left="1800"/>
      </w:pPr>
    </w:lvl>
    <w:lvl w:ilvl="4">
      <w:start w:val="1"/>
      <w:numFmt w:val="lowerLetter"/>
      <w:lvlText w:val="%1.%2.%3.%4.%5."/>
      <w:lvlJc w:val="left"/>
      <w:pPr>
        <w:ind w:hanging="360" w:left="2160"/>
      </w:pPr>
    </w:lvl>
    <w:lvl w:ilvl="5">
      <w:start w:val="1"/>
      <w:numFmt w:val="lowerRoman"/>
      <w:lvlText w:val="%1.%2.%3.%4.%5.%6."/>
      <w:lvlJc w:val="left"/>
      <w:pPr>
        <w:ind w:hanging="360" w:left="2520"/>
      </w:pPr>
    </w:lvl>
    <w:lvl w:ilvl="6">
      <w:start w:val="1"/>
      <w:numFmt w:val="decimal"/>
      <w:lvlText w:val="%1.%2.%3.%4.%5.%6.%7."/>
      <w:lvlJc w:val="left"/>
      <w:pPr>
        <w:ind w:hanging="360" w:left="2880"/>
      </w:pPr>
    </w:lvl>
    <w:lvl w:ilvl="7">
      <w:start w:val="1"/>
      <w:numFmt w:val="lowerLetter"/>
      <w:lvlText w:val="%1.%2.%3.%4.%5.%6.%7.%8."/>
      <w:lvlJc w:val="left"/>
      <w:pPr>
        <w:ind w:hanging="360" w:left="3240"/>
      </w:pPr>
    </w:lvl>
    <w:lvl w:ilvl="8">
      <w:start w:val="1"/>
      <w:numFmt w:val="lowerRoman"/>
      <w:lvlText w:val="%1.%2.%3.%4.%5.%6.%7.%8.%9."/>
      <w:lvlJc w:val="left"/>
      <w:pPr>
        <w:ind w:hanging="360" w:left="3600"/>
      </w:pPr>
    </w:lvl>
  </w:abstractNum>
  <w:abstractNum w:abstractNumId="1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bullet"/>
      <w:lvlText w:val="–"/>
      <w:lvlJc w:val="left"/>
      <w:pPr>
        <w:ind w:hanging="360" w:left="1080"/>
      </w:pPr>
      <w:rPr>
        <w:rFonts w:ascii="Times New Roman" w:cs="Times New Roman" w:hAnsi="Times New Roman" w:hint="default"/>
        <w:color w:val="00000A"/>
      </w:rPr>
    </w:lvl>
    <w:lvl w:ilvl="2">
      <w:start w:val="1"/>
      <w:numFmt w:val="lowerRoman"/>
      <w:lvlText w:val="%1.%2.%3."/>
      <w:lvlJc w:val="left"/>
      <w:pPr>
        <w:ind w:hanging="360" w:left="1440"/>
      </w:pPr>
    </w:lvl>
    <w:lvl w:ilvl="3">
      <w:start w:val="1"/>
      <w:numFmt w:val="decimal"/>
      <w:lvlText w:val="%1.%2.%3.%4."/>
      <w:lvlJc w:val="left"/>
      <w:pPr>
        <w:ind w:hanging="360" w:left="1800"/>
      </w:pPr>
    </w:lvl>
    <w:lvl w:ilvl="4">
      <w:start w:val="1"/>
      <w:numFmt w:val="lowerLetter"/>
      <w:lvlText w:val="%1.%2.%3.%4.%5."/>
      <w:lvlJc w:val="left"/>
      <w:pPr>
        <w:ind w:hanging="360" w:left="2160"/>
      </w:pPr>
    </w:lvl>
    <w:lvl w:ilvl="5">
      <w:start w:val="1"/>
      <w:numFmt w:val="lowerRoman"/>
      <w:lvlText w:val="%1.%2.%3.%4.%5.%6."/>
      <w:lvlJc w:val="left"/>
      <w:pPr>
        <w:ind w:hanging="360" w:left="2520"/>
      </w:pPr>
    </w:lvl>
    <w:lvl w:ilvl="6">
      <w:start w:val="1"/>
      <w:numFmt w:val="decimal"/>
      <w:lvlText w:val="%1.%2.%3.%4.%5.%6.%7."/>
      <w:lvlJc w:val="left"/>
      <w:pPr>
        <w:ind w:hanging="360" w:left="2880"/>
      </w:pPr>
    </w:lvl>
    <w:lvl w:ilvl="7">
      <w:start w:val="1"/>
      <w:numFmt w:val="lowerLetter"/>
      <w:lvlText w:val="%1.%2.%3.%4.%5.%6.%7.%8."/>
      <w:lvlJc w:val="left"/>
      <w:pPr>
        <w:ind w:hanging="360" w:left="3240"/>
      </w:pPr>
    </w:lvl>
    <w:lvl w:ilvl="8">
      <w:start w:val="1"/>
      <w:numFmt w:val="lowerRoman"/>
      <w:lvlText w:val="%1.%2.%3.%4.%5.%6.%7.%8.%9."/>
      <w:lvlJc w:val="left"/>
      <w:pPr>
        <w:ind w:hanging="360" w:left="3600"/>
      </w:pPr>
    </w:lvl>
  </w:abstractNum>
  <w:abstractNum w:abstractNumId="13">
    <w:lvl w:ilvl="0">
      <w:start w:val="1"/>
      <w:numFmt w:val="bullet"/>
      <w:lvlText w:val="–"/>
      <w:lvlJc w:val="left"/>
      <w:pPr>
        <w:ind w:hanging="360" w:left="720"/>
      </w:pPr>
      <w:rPr>
        <w:rFonts w:ascii="Times New Roman" w:cs="Times New Roman" w:hAnsi="Times New Roman" w:hint="default"/>
        <w:color w:val="00000A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lowerLetter"/>
      <w:lvlText w:val="%1)"/>
      <w:lvlJc w:val="left"/>
      <w:pPr>
        <w:ind w:hanging="363" w:left="720"/>
      </w:pPr>
      <w:rPr>
        <w:i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15">
    <w:lvl w:ilvl="0">
      <w:start w:val="1"/>
      <w:numFmt w:val="bullet"/>
      <w:lvlText w:val=""/>
      <w:lvlJc w:val="left"/>
      <w:pPr>
        <w:tabs>
          <w:tab w:pos="357" w:val="num"/>
        </w:tabs>
        <w:ind w:hanging="357" w:left="35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ind w:hanging="0" w:left="0" w:right="0"/>
      <w:jc w:val="left"/>
    </w:pPr>
    <w:rPr>
      <w:rFonts w:ascii="Times New Roman" w:cs="" w:eastAsia="SimSun" w:hAnsi="Times New Roman"/>
      <w:color w:val="auto"/>
      <w:sz w:val="24"/>
      <w:szCs w:val="22"/>
      <w:lang w:bidi="ar-SA" w:eastAsia="en-US" w:val="it-IT"/>
    </w:rPr>
  </w:style>
  <w:style w:styleId="style1" w:type="paragraph">
    <w:name w:val="Nagłówek 1"/>
    <w:basedOn w:val="style0"/>
    <w:next w:val="style26"/>
    <w:pPr>
      <w:keepNext/>
      <w:keepLines/>
      <w:spacing w:after="200" w:before="240"/>
      <w:ind w:hanging="0" w:left="0" w:right="0"/>
    </w:pPr>
    <w:rPr>
      <w:rFonts w:ascii="Calibri Light" w:cs="" w:hAnsi="Calibri Light"/>
      <w:color w:val="2E74B5"/>
      <w:sz w:val="32"/>
      <w:szCs w:val="32"/>
    </w:rPr>
  </w:style>
  <w:style w:styleId="style2" w:type="paragraph">
    <w:name w:val="Nagłówek 2"/>
    <w:basedOn w:val="style0"/>
    <w:next w:val="style26"/>
    <w:pPr>
      <w:keepNext/>
      <w:keepLines/>
      <w:numPr>
        <w:ilvl w:val="1"/>
        <w:numId w:val="1"/>
      </w:numPr>
      <w:spacing w:after="200" w:before="40"/>
      <w:outlineLvl w:val="1"/>
    </w:pPr>
    <w:rPr>
      <w:rFonts w:ascii="Calibri Light" w:cs="" w:hAnsi="Calibri Light"/>
      <w:color w:val="2E74B5"/>
      <w:sz w:val="26"/>
      <w:szCs w:val="26"/>
    </w:rPr>
  </w:style>
  <w:style w:styleId="style3" w:type="paragraph">
    <w:name w:val="Nagłówek 3"/>
    <w:basedOn w:val="style0"/>
    <w:next w:val="style26"/>
    <w:pPr>
      <w:keepNext/>
      <w:keepLines/>
      <w:numPr>
        <w:ilvl w:val="2"/>
        <w:numId w:val="1"/>
      </w:numPr>
      <w:spacing w:after="200" w:before="40"/>
      <w:outlineLvl w:val="2"/>
    </w:pPr>
    <w:rPr>
      <w:rFonts w:ascii="Calibri Light" w:cs="" w:hAnsi="Calibri Light"/>
      <w:color w:val="1F4D78"/>
      <w:szCs w:val="24"/>
    </w:rPr>
  </w:style>
  <w:style w:styleId="style4" w:type="paragraph">
    <w:name w:val="Nagłówek 4"/>
    <w:basedOn w:val="style0"/>
    <w:next w:val="style26"/>
    <w:pPr>
      <w:keepNext/>
      <w:keepLines/>
      <w:numPr>
        <w:ilvl w:val="3"/>
        <w:numId w:val="1"/>
      </w:numPr>
      <w:spacing w:after="200" w:before="200"/>
      <w:outlineLvl w:val="3"/>
    </w:pPr>
    <w:rPr>
      <w:rFonts w:ascii="Calibri Light" w:cs="" w:hAnsi="Calibri Light"/>
      <w:b/>
      <w:bCs/>
      <w:i/>
      <w:iCs/>
      <w:color w:val="5B9BD5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Calibri Light" w:cs="" w:hAnsi="Calibri Light"/>
      <w:color w:val="2E74B5"/>
      <w:sz w:val="32"/>
      <w:szCs w:val="32"/>
    </w:rPr>
  </w:style>
  <w:style w:styleId="style17" w:type="character">
    <w:name w:val="Nagłówek 2 Znak"/>
    <w:basedOn w:val="style15"/>
    <w:next w:val="style17"/>
    <w:rPr>
      <w:rFonts w:ascii="Calibri Light" w:cs="" w:hAnsi="Calibri Light"/>
      <w:color w:val="2E74B5"/>
      <w:sz w:val="26"/>
      <w:szCs w:val="26"/>
    </w:rPr>
  </w:style>
  <w:style w:styleId="style18" w:type="character">
    <w:name w:val="Nagłówek 3 Znak"/>
    <w:basedOn w:val="style15"/>
    <w:next w:val="style18"/>
    <w:rPr>
      <w:rFonts w:ascii="Calibri Light" w:cs="" w:hAnsi="Calibri Light"/>
      <w:color w:val="1F4D78"/>
      <w:sz w:val="24"/>
      <w:szCs w:val="24"/>
    </w:rPr>
  </w:style>
  <w:style w:styleId="style19" w:type="character">
    <w:name w:val="Nagłówek 4 Znak"/>
    <w:basedOn w:val="style15"/>
    <w:next w:val="style19"/>
    <w:rPr>
      <w:rFonts w:ascii="Calibri Light" w:cs="" w:hAnsi="Calibri Light"/>
      <w:b/>
      <w:bCs/>
      <w:i/>
      <w:iCs/>
      <w:color w:val="5B9BD5"/>
      <w:sz w:val="24"/>
    </w:rPr>
  </w:style>
  <w:style w:styleId="style20" w:type="character">
    <w:name w:val="ListLabel 1"/>
    <w:next w:val="style20"/>
    <w:rPr>
      <w:rFonts w:cs="Symbol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cs="Wingdings"/>
    </w:rPr>
  </w:style>
  <w:style w:styleId="style23" w:type="character">
    <w:name w:val="ListLabel 4"/>
    <w:next w:val="style23"/>
    <w:rPr>
      <w:rFonts w:cs="Times New Roman"/>
      <w:color w:val="00000A"/>
    </w:rPr>
  </w:style>
  <w:style w:styleId="style24" w:type="character">
    <w:name w:val="ListLabel 5"/>
    <w:next w:val="style24"/>
    <w:rPr>
      <w:i w:val="false"/>
    </w:rPr>
  </w:style>
  <w:style w:styleId="style25" w:type="paragraph">
    <w:name w:val="Nagłówek"/>
    <w:basedOn w:val="style0"/>
    <w:next w:val="style26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26" w:type="paragraph">
    <w:name w:val="Treść tekstu"/>
    <w:basedOn w:val="style0"/>
    <w:next w:val="style26"/>
    <w:pPr>
      <w:spacing w:after="120" w:before="0"/>
    </w:pPr>
    <w:rPr/>
  </w:style>
  <w:style w:styleId="style27" w:type="paragraph">
    <w:name w:val="Lista"/>
    <w:basedOn w:val="style26"/>
    <w:next w:val="style27"/>
    <w:pPr/>
    <w:rPr>
      <w:rFonts w:cs="Arial"/>
    </w:rPr>
  </w:style>
  <w:style w:styleId="style28" w:type="paragraph">
    <w:name w:val="Podpis"/>
    <w:basedOn w:val="style0"/>
    <w:next w:val="style28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9" w:type="paragraph">
    <w:name w:val="Indeks"/>
    <w:basedOn w:val="style0"/>
    <w:next w:val="style29"/>
    <w:pPr>
      <w:suppressLineNumbers/>
    </w:pPr>
    <w:rPr>
      <w:rFonts w:cs="Arial"/>
    </w:rPr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Nagłówek spisu treści"/>
    <w:basedOn w:val="style1"/>
    <w:next w:val="style31"/>
    <w:pPr>
      <w:suppressLineNumbers/>
      <w:spacing w:after="200" w:before="480"/>
    </w:pPr>
    <w:rPr>
      <w:b/>
      <w:bCs/>
      <w:sz w:val="28"/>
      <w:szCs w:val="28"/>
      <w:lang w:eastAsia="pl-PL"/>
    </w:rPr>
  </w:style>
  <w:style w:styleId="style32" w:type="paragraph">
    <w:name w:val="No Spacing"/>
    <w:next w:val="style32"/>
    <w:pPr>
      <w:widowControl/>
      <w:tabs>
        <w:tab w:leader="none" w:pos="708" w:val="left"/>
      </w:tabs>
      <w:suppressAutoHyphens w:val="true"/>
      <w:spacing w:line="100" w:lineRule="atLeast"/>
      <w:ind w:hanging="0" w:left="0" w:right="0"/>
      <w:jc w:val="left"/>
    </w:pPr>
    <w:rPr>
      <w:rFonts w:ascii="Times New Roman" w:cs="" w:eastAsia="SimSun" w:hAnsi="Times New Roman"/>
      <w:color w:val="auto"/>
      <w:sz w:val="24"/>
      <w:szCs w:val="22"/>
      <w:lang w:bidi="ar-SA" w:eastAsia="en-US"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2017-11-05T14:52:00.00Z</dcterms:created>
  <dc:creator>MP</dc:creator>
  <cp:lastModifiedBy>FP</cp:lastModifiedBy>
  <cp:lastPrinted>2017-11-07T09:20:00.00Z</cp:lastPrinted>
  <dcterms:modified xsi:type="dcterms:W3CDTF">2017-11-07T09:41:00.00Z</dcterms:modified>
  <cp:revision>3</cp:revision>
</cp:coreProperties>
</file>